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1344"/>
        <w:gridCol w:w="7296"/>
      </w:tblGrid>
      <w:tr w:rsidR="00D62E30" w:rsidRPr="0000177D" w14:paraId="717B9BE6" w14:textId="77777777" w:rsidTr="007D7C8B">
        <w:trPr>
          <w:tblCellSpacing w:w="15" w:type="dxa"/>
        </w:trPr>
        <w:tc>
          <w:tcPr>
            <w:tcW w:w="0" w:type="auto"/>
          </w:tcPr>
          <w:p w14:paraId="35563256" w14:textId="77777777" w:rsidR="00D62E30" w:rsidRPr="0029089F" w:rsidRDefault="00D62E30" w:rsidP="007D7C8B">
            <w:pPr>
              <w:rPr>
                <w:b/>
                <w:sz w:val="22"/>
                <w:szCs w:val="22"/>
              </w:rPr>
            </w:pPr>
            <w:r w:rsidRPr="0029089F">
              <w:rPr>
                <w:b/>
                <w:sz w:val="22"/>
                <w:szCs w:val="22"/>
              </w:rPr>
              <w:t>Bank Accounting</w:t>
            </w:r>
          </w:p>
          <w:p w14:paraId="46D5DDB7" w14:textId="77777777" w:rsidR="00D62E30" w:rsidRDefault="00D62E30" w:rsidP="007D7C8B">
            <w:pPr>
              <w:rPr>
                <w:sz w:val="22"/>
                <w:szCs w:val="22"/>
              </w:rPr>
            </w:pPr>
          </w:p>
          <w:p w14:paraId="15A79278" w14:textId="77777777" w:rsidR="00D62E30" w:rsidRDefault="00876A4D" w:rsidP="007D7C8B">
            <w:pPr>
              <w:rPr>
                <w:sz w:val="22"/>
                <w:szCs w:val="22"/>
              </w:rPr>
            </w:pPr>
            <w:r>
              <w:rPr>
                <w:sz w:val="22"/>
                <w:szCs w:val="22"/>
              </w:rPr>
              <w:t>Question 1</w:t>
            </w:r>
          </w:p>
          <w:p w14:paraId="58AAC907" w14:textId="77777777" w:rsidR="00D62E30" w:rsidRDefault="00D62E30" w:rsidP="007D7C8B">
            <w:pPr>
              <w:rPr>
                <w:sz w:val="22"/>
                <w:szCs w:val="22"/>
              </w:rPr>
            </w:pPr>
          </w:p>
          <w:p w14:paraId="2AEEFDAB" w14:textId="77777777" w:rsidR="00D62E30" w:rsidRPr="0000177D" w:rsidRDefault="00D62E30" w:rsidP="007D7C8B">
            <w:pPr>
              <w:rPr>
                <w:sz w:val="22"/>
                <w:szCs w:val="22"/>
              </w:rPr>
            </w:pPr>
          </w:p>
        </w:tc>
        <w:tc>
          <w:tcPr>
            <w:tcW w:w="0" w:type="auto"/>
            <w:vAlign w:val="center"/>
          </w:tcPr>
          <w:p w14:paraId="2D8640B8" w14:textId="77777777" w:rsidR="00A31D85" w:rsidRDefault="00A31D85" w:rsidP="00876A4D">
            <w:pPr>
              <w:rPr>
                <w:sz w:val="22"/>
                <w:szCs w:val="22"/>
              </w:rPr>
            </w:pPr>
          </w:p>
          <w:p w14:paraId="126DA425" w14:textId="77777777" w:rsidR="00A31D85" w:rsidRDefault="00A31D85" w:rsidP="00876A4D">
            <w:pPr>
              <w:rPr>
                <w:sz w:val="22"/>
                <w:szCs w:val="22"/>
              </w:rPr>
            </w:pPr>
          </w:p>
          <w:p w14:paraId="133ED5FE" w14:textId="77777777" w:rsidR="00A31D85" w:rsidRDefault="00A31D85" w:rsidP="00876A4D">
            <w:pPr>
              <w:rPr>
                <w:sz w:val="22"/>
                <w:szCs w:val="22"/>
              </w:rPr>
            </w:pPr>
          </w:p>
          <w:p w14:paraId="6CA42DBD" w14:textId="77777777" w:rsidR="00D62E30" w:rsidRPr="0000177D" w:rsidRDefault="00876A4D" w:rsidP="00876A4D">
            <w:pPr>
              <w:rPr>
                <w:sz w:val="22"/>
                <w:szCs w:val="22"/>
              </w:rPr>
            </w:pPr>
            <w:r w:rsidRPr="0000177D">
              <w:rPr>
                <w:sz w:val="22"/>
                <w:szCs w:val="22"/>
              </w:rPr>
              <w:t>Wh</w:t>
            </w:r>
            <w:r>
              <w:rPr>
                <w:sz w:val="22"/>
                <w:szCs w:val="22"/>
              </w:rPr>
              <w:t>o is FASB and wh</w:t>
            </w:r>
            <w:r w:rsidRPr="0000177D">
              <w:rPr>
                <w:sz w:val="22"/>
                <w:szCs w:val="22"/>
              </w:rPr>
              <w:t>at changes did the FASB make to its mark-to-market a</w:t>
            </w:r>
            <w:r>
              <w:rPr>
                <w:sz w:val="22"/>
                <w:szCs w:val="22"/>
              </w:rPr>
              <w:t>c</w:t>
            </w:r>
            <w:r w:rsidRPr="0000177D">
              <w:rPr>
                <w:sz w:val="22"/>
                <w:szCs w:val="22"/>
              </w:rPr>
              <w:t>counting rules? Why did the FASB change the rules?</w:t>
            </w:r>
          </w:p>
        </w:tc>
      </w:tr>
      <w:tr w:rsidR="00D62E30" w:rsidRPr="0000177D" w14:paraId="4D143761" w14:textId="77777777" w:rsidTr="007D7C8B">
        <w:trPr>
          <w:tblCellSpacing w:w="15" w:type="dxa"/>
        </w:trPr>
        <w:tc>
          <w:tcPr>
            <w:tcW w:w="0" w:type="auto"/>
          </w:tcPr>
          <w:p w14:paraId="2E18CAA8" w14:textId="77777777" w:rsidR="00D62E30" w:rsidRPr="0000177D" w:rsidRDefault="00D62E30" w:rsidP="007D7C8B">
            <w:pPr>
              <w:rPr>
                <w:sz w:val="22"/>
                <w:szCs w:val="22"/>
              </w:rPr>
            </w:pPr>
            <w:r w:rsidRPr="0000177D">
              <w:rPr>
                <w:sz w:val="22"/>
                <w:szCs w:val="22"/>
              </w:rPr>
              <w:t xml:space="preserve">Question 2: </w:t>
            </w:r>
          </w:p>
        </w:tc>
        <w:tc>
          <w:tcPr>
            <w:tcW w:w="0" w:type="auto"/>
            <w:vAlign w:val="center"/>
          </w:tcPr>
          <w:p w14:paraId="08234B81" w14:textId="77777777" w:rsidR="00D62E30" w:rsidRPr="0000177D" w:rsidRDefault="00D62E30" w:rsidP="007D7C8B">
            <w:pPr>
              <w:rPr>
                <w:sz w:val="22"/>
                <w:szCs w:val="22"/>
              </w:rPr>
            </w:pPr>
            <w:r w:rsidRPr="0000177D">
              <w:rPr>
                <w:sz w:val="22"/>
                <w:szCs w:val="22"/>
              </w:rPr>
              <w:t>How will the accounting rule changes affect the financial statements of financial firms? How will the accounting rule changes affect the level, risk, and value of cash flows that financial firms will be able to generate?</w:t>
            </w:r>
          </w:p>
        </w:tc>
      </w:tr>
      <w:tr w:rsidR="00D62E30" w:rsidRPr="0000177D" w14:paraId="5184DD1C" w14:textId="77777777" w:rsidTr="007D7C8B">
        <w:trPr>
          <w:tblCellSpacing w:w="15" w:type="dxa"/>
        </w:trPr>
        <w:tc>
          <w:tcPr>
            <w:tcW w:w="0" w:type="auto"/>
          </w:tcPr>
          <w:p w14:paraId="1B9D61D4" w14:textId="77777777" w:rsidR="00D62E30" w:rsidRPr="0000177D" w:rsidRDefault="00D62E30" w:rsidP="007D7C8B">
            <w:pPr>
              <w:rPr>
                <w:sz w:val="22"/>
                <w:szCs w:val="22"/>
              </w:rPr>
            </w:pPr>
            <w:r w:rsidRPr="0000177D">
              <w:rPr>
                <w:sz w:val="22"/>
                <w:szCs w:val="22"/>
              </w:rPr>
              <w:t xml:space="preserve">Question 3: </w:t>
            </w:r>
          </w:p>
        </w:tc>
        <w:tc>
          <w:tcPr>
            <w:tcW w:w="0" w:type="auto"/>
            <w:vAlign w:val="center"/>
          </w:tcPr>
          <w:p w14:paraId="7FBEB078" w14:textId="77777777" w:rsidR="00D62E30" w:rsidRPr="0000177D" w:rsidRDefault="00B2713C" w:rsidP="007D7C8B">
            <w:pPr>
              <w:rPr>
                <w:sz w:val="22"/>
                <w:szCs w:val="22"/>
              </w:rPr>
            </w:pPr>
            <w:r>
              <w:rPr>
                <w:sz w:val="22"/>
                <w:szCs w:val="22"/>
              </w:rPr>
              <w:t xml:space="preserve">Do all assets have  market value? What is Fasb 157?  </w:t>
            </w:r>
            <w:r w:rsidR="00D62E30" w:rsidRPr="0000177D">
              <w:rPr>
                <w:sz w:val="22"/>
                <w:szCs w:val="22"/>
              </w:rPr>
              <w:t xml:space="preserve">How will the changes in the accounting rule affect the ability of investors to determine the value of the shares of financial firms? </w:t>
            </w:r>
          </w:p>
        </w:tc>
      </w:tr>
    </w:tbl>
    <w:p w14:paraId="71235C34" w14:textId="77777777" w:rsidR="00D62E30" w:rsidRDefault="00D62E30" w:rsidP="00D62E30">
      <w:pPr>
        <w:rPr>
          <w:sz w:val="22"/>
          <w:szCs w:val="22"/>
        </w:rPr>
      </w:pPr>
    </w:p>
    <w:p w14:paraId="74951958" w14:textId="77777777" w:rsidR="00D62E30" w:rsidRDefault="00D62E30" w:rsidP="00B2713C">
      <w:pPr>
        <w:ind w:left="1440" w:hanging="1440"/>
        <w:rPr>
          <w:sz w:val="22"/>
          <w:szCs w:val="22"/>
        </w:rPr>
      </w:pPr>
      <w:r w:rsidRPr="0000177D">
        <w:rPr>
          <w:sz w:val="22"/>
          <w:szCs w:val="22"/>
        </w:rPr>
        <w:t xml:space="preserve">Question </w:t>
      </w:r>
      <w:r>
        <w:rPr>
          <w:sz w:val="22"/>
          <w:szCs w:val="22"/>
        </w:rPr>
        <w:t xml:space="preserve">4 </w:t>
      </w:r>
      <w:r w:rsidR="00B2713C">
        <w:rPr>
          <w:sz w:val="22"/>
          <w:szCs w:val="22"/>
        </w:rPr>
        <w:tab/>
      </w:r>
      <w:r>
        <w:rPr>
          <w:sz w:val="22"/>
          <w:szCs w:val="22"/>
        </w:rPr>
        <w:t>Who is the IASB?  Are European banks using the same methods to evaluate sovereign debt?  How does it impact bank safety and soundness?</w:t>
      </w:r>
      <w:r w:rsidR="00F63959">
        <w:rPr>
          <w:sz w:val="22"/>
          <w:szCs w:val="22"/>
        </w:rPr>
        <w:t xml:space="preserve">  How are Italian banks “utilizing” the rule?</w:t>
      </w:r>
    </w:p>
    <w:p w14:paraId="16FA38E3" w14:textId="77777777" w:rsidR="000278E9" w:rsidRDefault="000278E9" w:rsidP="00D62E30">
      <w:pPr>
        <w:rPr>
          <w:sz w:val="22"/>
          <w:szCs w:val="22"/>
        </w:rPr>
      </w:pPr>
    </w:p>
    <w:p w14:paraId="18650FF1" w14:textId="77777777" w:rsidR="00D62E30" w:rsidRDefault="00D62E30" w:rsidP="00D62E30">
      <w:r>
        <w:rPr>
          <w:sz w:val="22"/>
          <w:szCs w:val="22"/>
        </w:rPr>
        <w:t>Question 5</w:t>
      </w:r>
      <w:r>
        <w:t>"Banks...typically value more than half their assets using the historical-cost method...." Why do banks have assets measured with a mixture of valuation techniques? What methods other than historical-cost are used</w:t>
      </w:r>
      <w:r w:rsidR="0077390E">
        <w:t>?</w:t>
      </w:r>
      <w:r w:rsidR="00B2713C">
        <w:t xml:space="preserve">   </w:t>
      </w:r>
      <w:r>
        <w:t>Name two types of bank assets, one measured at historical-cost and the other valued using an alternative measurement method.</w:t>
      </w:r>
    </w:p>
    <w:p w14:paraId="78216238" w14:textId="77777777" w:rsidR="00B2713C" w:rsidRDefault="00B2713C" w:rsidP="00D62E30"/>
    <w:p w14:paraId="33C1FE19" w14:textId="77777777" w:rsidR="006E6057" w:rsidRDefault="006E6057" w:rsidP="006E6057">
      <w:pPr>
        <w:pStyle w:val="heading"/>
        <w:ind w:left="0"/>
        <w:rPr>
          <w:rFonts w:ascii="Arial" w:hAnsi="Arial" w:cs="Arial"/>
          <w:sz w:val="15"/>
          <w:szCs w:val="15"/>
          <w:lang w:val="en"/>
        </w:rPr>
      </w:pPr>
    </w:p>
    <w:p w14:paraId="343DD362" w14:textId="77777777" w:rsidR="006E6057" w:rsidRDefault="006E6057" w:rsidP="00D62E30">
      <w:pPr>
        <w:pStyle w:val="heading"/>
        <w:rPr>
          <w:rFonts w:ascii="Arial" w:hAnsi="Arial" w:cs="Arial"/>
          <w:sz w:val="15"/>
          <w:szCs w:val="15"/>
          <w:lang w:val="en"/>
        </w:rPr>
      </w:pPr>
    </w:p>
    <w:p w14:paraId="42E32953" w14:textId="77777777" w:rsidR="00D62E30" w:rsidRDefault="00AF772F" w:rsidP="00D62E30">
      <w:pPr>
        <w:pStyle w:val="heading"/>
        <w:rPr>
          <w:rFonts w:ascii="Arial" w:hAnsi="Arial" w:cs="Arial"/>
          <w:sz w:val="15"/>
          <w:szCs w:val="15"/>
          <w:lang w:val="en"/>
        </w:rPr>
      </w:pPr>
      <w:hyperlink r:id="rId5" w:history="1">
        <w:r w:rsidR="00D62E30">
          <w:rPr>
            <w:rFonts w:ascii="Arial" w:hAnsi="Arial" w:cs="Arial"/>
            <w:sz w:val="15"/>
            <w:szCs w:val="15"/>
            <w:lang w:val="en"/>
          </w:rPr>
          <w:t>Central Banker</w:t>
        </w:r>
      </w:hyperlink>
      <w:r w:rsidR="00D62E30">
        <w:rPr>
          <w:rFonts w:ascii="Arial" w:hAnsi="Arial" w:cs="Arial"/>
          <w:sz w:val="15"/>
          <w:szCs w:val="15"/>
          <w:lang w:val="en"/>
        </w:rPr>
        <w:t xml:space="preserve"> | </w:t>
      </w:r>
      <w:hyperlink r:id="rId6" w:history="1">
        <w:r w:rsidR="00D62E30">
          <w:rPr>
            <w:rFonts w:ascii="Arial" w:hAnsi="Arial" w:cs="Arial"/>
            <w:sz w:val="15"/>
            <w:szCs w:val="15"/>
            <w:lang w:val="en"/>
          </w:rPr>
          <w:t>Summer 2009</w:t>
        </w:r>
      </w:hyperlink>
    </w:p>
    <w:p w14:paraId="1FB51D03" w14:textId="77777777" w:rsidR="00D62E30" w:rsidRDefault="00D62E30" w:rsidP="00D62E30">
      <w:pPr>
        <w:spacing w:before="75" w:after="75"/>
        <w:ind w:left="225" w:right="225"/>
        <w:outlineLvl w:val="2"/>
        <w:rPr>
          <w:rFonts w:ascii="Georgia" w:hAnsi="Georgia" w:cs="Arial"/>
          <w:color w:val="333333"/>
          <w:lang w:val="en"/>
        </w:rPr>
      </w:pPr>
      <w:r>
        <w:rPr>
          <w:rFonts w:ascii="Georgia" w:hAnsi="Georgia" w:cs="Arial"/>
          <w:color w:val="333333"/>
          <w:lang w:val="en"/>
        </w:rPr>
        <w:t>Views</w:t>
      </w:r>
    </w:p>
    <w:p w14:paraId="0226B6FD" w14:textId="77777777" w:rsidR="00D62E30" w:rsidRDefault="00D62E30" w:rsidP="00D62E30">
      <w:pPr>
        <w:pBdr>
          <w:bottom w:val="dotted" w:sz="6" w:space="5" w:color="666666"/>
        </w:pBdr>
        <w:spacing w:before="75" w:after="75" w:line="288" w:lineRule="atLeast"/>
        <w:ind w:left="225" w:right="225"/>
        <w:outlineLvl w:val="1"/>
        <w:rPr>
          <w:rFonts w:ascii="Georgia" w:hAnsi="Georgia" w:cs="Arial"/>
          <w:color w:val="333333"/>
          <w:kern w:val="36"/>
          <w:sz w:val="38"/>
          <w:szCs w:val="38"/>
          <w:lang w:val="en"/>
        </w:rPr>
      </w:pPr>
      <w:r>
        <w:rPr>
          <w:rFonts w:ascii="Georgia" w:hAnsi="Georgia" w:cs="Arial"/>
          <w:color w:val="333333"/>
          <w:kern w:val="36"/>
          <w:sz w:val="38"/>
          <w:szCs w:val="38"/>
          <w:lang w:val="en"/>
        </w:rPr>
        <w:t>Fair-Value Accounting: Don't Shoot the Messenger!</w:t>
      </w:r>
    </w:p>
    <w:p w14:paraId="2246B28C" w14:textId="77777777" w:rsidR="00D62E30" w:rsidRDefault="00D62E30" w:rsidP="00D62E30">
      <w:pPr>
        <w:pStyle w:val="byline"/>
        <w:rPr>
          <w:rFonts w:ascii="Arial" w:hAnsi="Arial" w:cs="Arial"/>
          <w:color w:val="333333"/>
          <w:sz w:val="18"/>
          <w:szCs w:val="18"/>
          <w:lang w:val="en"/>
        </w:rPr>
      </w:pPr>
      <w:r>
        <w:rPr>
          <w:rFonts w:ascii="Arial" w:hAnsi="Arial" w:cs="Arial"/>
          <w:color w:val="333333"/>
          <w:sz w:val="18"/>
          <w:szCs w:val="18"/>
          <w:lang w:val="en"/>
        </w:rPr>
        <w:t>By William R. Emmons</w:t>
      </w:r>
    </w:p>
    <w:p w14:paraId="0D3C65E7"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 xml:space="preserve">A long-standing criticism of historical-cost accounting (HCA) is that, while it may provide good information about things that already have happened, it may not tell us much about what has happened in the recent past or what is likely to happen in the future. </w:t>
      </w:r>
    </w:p>
    <w:p w14:paraId="611E0C82"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For example, a bank may have acquired a bond some time ago at a price of $100, but it might be possible to sell the security today for only $80. If the bank classifies the security as "held to maturity" and believes that it will pay off in full at maturity, it is allowed to carry the security at $100 and need not recognize any loss when reporting its earnings and capital.</w:t>
      </w:r>
    </w:p>
    <w:p w14:paraId="58D2BCE7"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Fair-value accounting (FVA) is a framework for assigning current values to assets and liabilities. In the example above, a loss of $20 would be recognized both in the bank's earnings and its capital as soon as it occurred. The bank would have no choice, even though it might believe there has been no permanent impairment of the security's value.</w:t>
      </w:r>
    </w:p>
    <w:p w14:paraId="27A5D66A"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 xml:space="preserve">Many academics, policymakers and others have applauded FVA as a vast improvement over HCA, because it is likely to accelerate the recognition and (hopefully) resolution of troubled banks and other financial firms. </w:t>
      </w:r>
      <w:r>
        <w:rPr>
          <w:rFonts w:ascii="Arial" w:hAnsi="Arial" w:cs="Arial"/>
          <w:color w:val="333333"/>
          <w:sz w:val="18"/>
          <w:szCs w:val="18"/>
          <w:lang w:val="en"/>
        </w:rPr>
        <w:lastRenderedPageBreak/>
        <w:t>At the same time, some bankers, politicians and others have derided FVA as a principal cause of the financial turmoil we are experiencing because it translates financial-market volatility into wild and largely unjustified fluctuations in banks' earnings and capital.</w:t>
      </w:r>
    </w:p>
    <w:p w14:paraId="201F7AF3"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 xml:space="preserve">In fact, both extreme positions are wide of the mark. FVA is neither perfect nor pernicious in its own right. There are many difficult conceptual and practical issues surrounding FVA that remain to be resolved. In the meantime, all concerned parties should learn more about FVA and work toward a more effective implementation. Fair-value accounting is just the messenger and it wouldn't be wise to "shoot it down" just because the message it is bringing today is unpleasant. </w:t>
      </w:r>
    </w:p>
    <w:p w14:paraId="72BC78F7" w14:textId="77777777" w:rsidR="00D62E30" w:rsidRDefault="00D62E30" w:rsidP="00D62E30">
      <w:pPr>
        <w:spacing w:before="75" w:after="75"/>
        <w:ind w:left="225" w:right="225"/>
        <w:outlineLvl w:val="2"/>
        <w:rPr>
          <w:rFonts w:ascii="Georgia" w:hAnsi="Georgia" w:cs="Arial"/>
          <w:color w:val="333333"/>
          <w:lang w:val="en"/>
        </w:rPr>
      </w:pPr>
      <w:r>
        <w:rPr>
          <w:rFonts w:ascii="Georgia" w:hAnsi="Georgia" w:cs="Arial"/>
          <w:color w:val="333333"/>
          <w:lang w:val="en"/>
        </w:rPr>
        <w:t xml:space="preserve">Fair-value Accounting in the </w:t>
      </w:r>
      <w:smartTag w:uri="urn:schemas-microsoft-com:office:smarttags" w:element="country-region">
        <w:smartTag w:uri="urn:schemas-microsoft-com:office:smarttags" w:element="place">
          <w:r>
            <w:rPr>
              <w:rFonts w:ascii="Georgia" w:hAnsi="Georgia" w:cs="Arial"/>
              <w:color w:val="333333"/>
              <w:lang w:val="en"/>
            </w:rPr>
            <w:t>United States</w:t>
          </w:r>
        </w:smartTag>
      </w:smartTag>
    </w:p>
    <w:p w14:paraId="4379A0E1"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U.S. GAAP (generally accepted accounting principles) has been moving toward FVA principles for a number of years, but GAAP remains a hybrid system. That is, it is an evolving mixture of historical-cost, LOCOM (lower-of-cost-or-market) and fair-value accounting principles.</w:t>
      </w:r>
    </w:p>
    <w:p w14:paraId="2C1DA909"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As of late 2007, banks and other firms may choose to apply fair-value principles to any financial asset or liability, but they need not do so in some cases. Certain items, such as derivatives, always must be reported at fair value. Others, such as loans, rarely are. Liabilities may be marked up or down to reflect changes in fair value, giving rise to the paradoxical implication that a firm's financial difficulties actually may increase its earnings and capital. For example, a bank that has issued $100 million of debt may increase its earnings and capital by $10 million if its debt is trading at 90 percent of par in the secondary market.</w:t>
      </w:r>
    </w:p>
    <w:p w14:paraId="08EA9B2F"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 xml:space="preserve">The "fair-value option" is explained in </w:t>
      </w:r>
      <w:hyperlink r:id="rId7" w:tgtFrame="_blank" w:history="1">
        <w:r>
          <w:rPr>
            <w:rStyle w:val="Hyperlink"/>
            <w:rFonts w:ascii="Arial" w:hAnsi="Arial" w:cs="Arial"/>
            <w:sz w:val="18"/>
            <w:szCs w:val="18"/>
            <w:lang w:val="en"/>
          </w:rPr>
          <w:t>FAS (Financial Accounting Standards) 159</w:t>
        </w:r>
      </w:hyperlink>
      <w:r>
        <w:rPr>
          <w:rFonts w:ascii="Arial" w:hAnsi="Arial" w:cs="Arial"/>
          <w:color w:val="333333"/>
          <w:sz w:val="18"/>
          <w:szCs w:val="18"/>
          <w:lang w:val="en"/>
        </w:rPr>
        <w:t xml:space="preserve">. If choosing FVA for a loan, security or liability, a bank applies the "fair-value hierarchy" spelled out in </w:t>
      </w:r>
      <w:hyperlink r:id="rId8" w:tgtFrame="_blank" w:history="1">
        <w:r>
          <w:rPr>
            <w:rStyle w:val="Hyperlink"/>
            <w:rFonts w:ascii="Arial" w:hAnsi="Arial" w:cs="Arial"/>
            <w:sz w:val="18"/>
            <w:szCs w:val="18"/>
            <w:lang w:val="en"/>
          </w:rPr>
          <w:t>FAS 157</w:t>
        </w:r>
      </w:hyperlink>
      <w:r>
        <w:rPr>
          <w:rFonts w:ascii="Arial" w:hAnsi="Arial" w:cs="Arial"/>
          <w:color w:val="333333"/>
          <w:sz w:val="18"/>
          <w:szCs w:val="18"/>
          <w:lang w:val="en"/>
        </w:rPr>
        <w:t xml:space="preserve">. In particular, an asset or liability is reported at market value, if a price is available (a level-one valuation); at a value derived from a closely related market price or prices (a level-two valuation); or at a value determined by a valuation model, such as an estimate of the values of the asset's discounted cash flows (a level-three valuation). </w:t>
      </w:r>
    </w:p>
    <w:p w14:paraId="2B50168B" w14:textId="77777777" w:rsidR="00D62E30" w:rsidRDefault="00D62E30" w:rsidP="00D62E30">
      <w:pPr>
        <w:spacing w:before="75" w:after="75"/>
        <w:ind w:left="225" w:right="225"/>
        <w:outlineLvl w:val="2"/>
        <w:rPr>
          <w:rFonts w:ascii="Georgia" w:hAnsi="Georgia" w:cs="Arial"/>
          <w:color w:val="333333"/>
          <w:lang w:val="en"/>
        </w:rPr>
      </w:pPr>
      <w:r>
        <w:rPr>
          <w:rFonts w:ascii="Georgia" w:hAnsi="Georgia" w:cs="Arial"/>
          <w:color w:val="333333"/>
          <w:lang w:val="en"/>
        </w:rPr>
        <w:t>What Fair-value Accounting Does and Does Not Do</w:t>
      </w:r>
    </w:p>
    <w:p w14:paraId="3A7D9C60"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As currently implemented in U.S. GAAP, relevant FVA standards are intended to answer how much a competent liquidator would receive for this asset, and how much it would have to pay to extinguish that liability, in a non-distress transaction under normal market conditions.</w:t>
      </w:r>
    </w:p>
    <w:p w14:paraId="7FE4EC75"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This statement of its intent shows that application of FVA struggles with at least three difficult problems:</w:t>
      </w:r>
    </w:p>
    <w:p w14:paraId="0C503FB1" w14:textId="77777777" w:rsidR="00D62E30" w:rsidRDefault="00D62E30" w:rsidP="00D62E30">
      <w:pPr>
        <w:pStyle w:val="NormalWeb"/>
        <w:rPr>
          <w:rFonts w:ascii="Arial" w:hAnsi="Arial" w:cs="Arial"/>
          <w:color w:val="333333"/>
          <w:sz w:val="18"/>
          <w:szCs w:val="18"/>
          <w:lang w:val="en"/>
        </w:rPr>
      </w:pPr>
      <w:r>
        <w:rPr>
          <w:rStyle w:val="Strong"/>
          <w:rFonts w:ascii="Arial" w:hAnsi="Arial" w:cs="Arial"/>
          <w:color w:val="333333"/>
          <w:sz w:val="18"/>
          <w:szCs w:val="18"/>
          <w:lang w:val="en"/>
        </w:rPr>
        <w:t>First:</w:t>
      </w:r>
      <w:r>
        <w:rPr>
          <w:rFonts w:ascii="Arial" w:hAnsi="Arial" w:cs="Arial"/>
          <w:color w:val="333333"/>
          <w:sz w:val="18"/>
          <w:szCs w:val="18"/>
          <w:lang w:val="en"/>
        </w:rPr>
        <w:t xml:space="preserve"> The "exit-price notion" of fair value is a liquidation value, which may differ significantly from an asset's or liability's "value in use." It disregards any "going-concern value" that may be attached to a particular asset or liability, such as the value of a bank-borrower relationship, market-specific knowledge, or a core-deposit franchise. Thus, FVA may materially misrepresent the economic value of a viable bank, as distinct from the sum of its component assets and liabilities if transferred (hypothetically) to another bank. Note, however, that historical-cost accounting also may report an enterprise value far from the total market values of a viable bank's debt and equity.</w:t>
      </w:r>
    </w:p>
    <w:p w14:paraId="7DA80E16" w14:textId="77777777" w:rsidR="00D62E30" w:rsidRDefault="00D62E30" w:rsidP="00D62E30">
      <w:pPr>
        <w:pStyle w:val="NormalWeb"/>
        <w:rPr>
          <w:rFonts w:ascii="Arial" w:hAnsi="Arial" w:cs="Arial"/>
          <w:color w:val="333333"/>
          <w:sz w:val="18"/>
          <w:szCs w:val="18"/>
          <w:lang w:val="en"/>
        </w:rPr>
      </w:pPr>
      <w:r>
        <w:rPr>
          <w:rStyle w:val="Strong"/>
          <w:rFonts w:ascii="Arial" w:hAnsi="Arial" w:cs="Arial"/>
          <w:color w:val="333333"/>
          <w:sz w:val="18"/>
          <w:szCs w:val="18"/>
          <w:lang w:val="en"/>
        </w:rPr>
        <w:t>Second:</w:t>
      </w:r>
      <w:r>
        <w:rPr>
          <w:rFonts w:ascii="Arial" w:hAnsi="Arial" w:cs="Arial"/>
          <w:color w:val="333333"/>
          <w:sz w:val="18"/>
          <w:szCs w:val="18"/>
          <w:lang w:val="en"/>
        </w:rPr>
        <w:t xml:space="preserve"> FVA is highly subjective whenever there is no deep and liquid market for one of the bank's assets or liabilities. In these situations—much more common today during the financial turmoil than in years past—FAS 157 details valuation techniques based on "close substitutes" (a level-two valuation) or a discounted-cash-flow or other model-based valuation (a level-three valuation). These valuations require expert judgment and are likely to differ significantly across banks and from day to day when financial markets are volatile. </w:t>
      </w:r>
    </w:p>
    <w:p w14:paraId="33316950" w14:textId="77777777" w:rsidR="00D62E30" w:rsidRDefault="00D62E30" w:rsidP="00D62E30">
      <w:pPr>
        <w:pStyle w:val="NormalWeb"/>
        <w:rPr>
          <w:rFonts w:ascii="Arial" w:hAnsi="Arial" w:cs="Arial"/>
          <w:color w:val="333333"/>
          <w:sz w:val="18"/>
          <w:szCs w:val="18"/>
          <w:lang w:val="en"/>
        </w:rPr>
      </w:pPr>
      <w:r>
        <w:rPr>
          <w:rStyle w:val="Strong"/>
          <w:rFonts w:ascii="Arial" w:hAnsi="Arial" w:cs="Arial"/>
          <w:color w:val="333333"/>
          <w:sz w:val="18"/>
          <w:szCs w:val="18"/>
          <w:lang w:val="en"/>
        </w:rPr>
        <w:t>Third:</w:t>
      </w:r>
      <w:r>
        <w:rPr>
          <w:rFonts w:ascii="Arial" w:hAnsi="Arial" w:cs="Arial"/>
          <w:color w:val="333333"/>
          <w:sz w:val="18"/>
          <w:szCs w:val="18"/>
          <w:lang w:val="en"/>
        </w:rPr>
        <w:t xml:space="preserve"> In important respects, application of FVA under GAAP is voluntary, and thus makes comparisons across banks more difficult. Some banks will report a larger proportion of their assets and liabilities at fair values than others, making standard accounting ratios difficult to interpret.</w:t>
      </w:r>
    </w:p>
    <w:p w14:paraId="09A1FDB4" w14:textId="77777777" w:rsidR="00D62E30" w:rsidRDefault="00D62E30" w:rsidP="00D62E30">
      <w:pPr>
        <w:spacing w:before="75" w:after="75"/>
        <w:ind w:left="225" w:right="225"/>
        <w:outlineLvl w:val="2"/>
        <w:rPr>
          <w:rFonts w:ascii="Georgia" w:hAnsi="Georgia" w:cs="Arial"/>
          <w:color w:val="333333"/>
          <w:lang w:val="en"/>
        </w:rPr>
      </w:pPr>
      <w:r>
        <w:rPr>
          <w:rFonts w:ascii="Georgia" w:hAnsi="Georgia" w:cs="Arial"/>
          <w:color w:val="333333"/>
          <w:lang w:val="en"/>
        </w:rPr>
        <w:t>The Fog of War</w:t>
      </w:r>
    </w:p>
    <w:p w14:paraId="268E9B7D"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The financial crisis has demonstrated a key advantage of FVA in providing relatively prompt updates on the financial conditions of some banks and other financial firms. But it also has highlighted some of FVA's weaknesses. Moreover, the Financial Accounting Standards Board in early April issued</w:t>
      </w:r>
      <w:hyperlink r:id="rId9" w:tgtFrame="_blank" w:history="1">
        <w:r>
          <w:rPr>
            <w:rStyle w:val="Hyperlink"/>
            <w:rFonts w:ascii="Arial" w:hAnsi="Arial" w:cs="Arial"/>
            <w:sz w:val="18"/>
            <w:szCs w:val="18"/>
            <w:lang w:val="en"/>
          </w:rPr>
          <w:t xml:space="preserve"> clarifications of several FVA statements</w:t>
        </w:r>
      </w:hyperlink>
      <w:r>
        <w:rPr>
          <w:rFonts w:ascii="Arial" w:hAnsi="Arial" w:cs="Arial"/>
          <w:color w:val="333333"/>
          <w:sz w:val="18"/>
          <w:szCs w:val="18"/>
          <w:lang w:val="en"/>
        </w:rPr>
        <w:t>. FASB said the clarifications would make the fair-value framework "more flexible" by encouraging banks to use their own judgments more often about whether the markets used for valuation purposes were "not orderly." This will increase the frequency of level-three valuations, in particular.</w:t>
      </w:r>
    </w:p>
    <w:p w14:paraId="47EFCD9F"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 xml:space="preserve">While FASB was criticized by many for "compromising" or "weakening" FVA, it's more accurate to say that FASB merely has altered the elaborate compromise represented by GAAP's incorporation of fair-value principles. A similar controversy is raging around accounting standards outside the </w:t>
      </w:r>
      <w:smartTag w:uri="urn:schemas-microsoft-com:office:smarttags" w:element="country-region">
        <w:smartTag w:uri="urn:schemas-microsoft-com:office:smarttags" w:element="place">
          <w:r>
            <w:rPr>
              <w:rFonts w:ascii="Arial" w:hAnsi="Arial" w:cs="Arial"/>
              <w:color w:val="333333"/>
              <w:sz w:val="18"/>
              <w:szCs w:val="18"/>
              <w:lang w:val="en"/>
            </w:rPr>
            <w:t>U.S.</w:t>
          </w:r>
        </w:smartTag>
      </w:smartTag>
    </w:p>
    <w:p w14:paraId="55B023FA" w14:textId="77777777" w:rsidR="00D62E30" w:rsidRDefault="00D62E30" w:rsidP="00D62E30">
      <w:pPr>
        <w:pStyle w:val="NormalWeb"/>
        <w:rPr>
          <w:rFonts w:ascii="Arial" w:hAnsi="Arial" w:cs="Arial"/>
          <w:color w:val="333333"/>
          <w:sz w:val="18"/>
          <w:szCs w:val="18"/>
          <w:lang w:val="en"/>
        </w:rPr>
      </w:pPr>
      <w:r>
        <w:rPr>
          <w:rFonts w:ascii="Arial" w:hAnsi="Arial" w:cs="Arial"/>
          <w:color w:val="333333"/>
          <w:sz w:val="18"/>
          <w:szCs w:val="18"/>
          <w:lang w:val="en"/>
        </w:rPr>
        <w:t>Fair value is neither a perfect accounting framework nor more inherently flawed than any other approach. Ironically, the prominence of fair-value accounting principles in U.S. GAAP increased just as the financial crisis was unfolding. It would be a mistake to blame FVA for the crisis, but we also should learn from recent experience that its application has been problematic.</w:t>
      </w:r>
    </w:p>
    <w:p w14:paraId="61611824" w14:textId="77777777" w:rsidR="00D62E30" w:rsidRPr="00CD2751" w:rsidRDefault="00D62E30" w:rsidP="00D62E30">
      <w:pPr>
        <w:rPr>
          <w:sz w:val="22"/>
          <w:szCs w:val="22"/>
          <w:lang w:val="en"/>
        </w:rPr>
      </w:pPr>
    </w:p>
    <w:p w14:paraId="64E8139D" w14:textId="77777777" w:rsidR="00D62E30" w:rsidRPr="0000177D" w:rsidRDefault="00D62E30" w:rsidP="00D62E30">
      <w:pPr>
        <w:rPr>
          <w:sz w:val="22"/>
          <w:szCs w:val="22"/>
        </w:rPr>
      </w:pPr>
    </w:p>
    <w:p w14:paraId="36455583" w14:textId="77777777" w:rsidR="00D62E30" w:rsidRDefault="00D62E30" w:rsidP="00D62E30">
      <w:pPr>
        <w:pStyle w:val="Heading1"/>
        <w:rPr>
          <w:rFonts w:ascii="Arial" w:hAnsi="Arial" w:cs="Arial"/>
          <w:color w:val="000000"/>
          <w:sz w:val="22"/>
          <w:szCs w:val="22"/>
          <w:lang w:val="en"/>
        </w:rPr>
      </w:pPr>
    </w:p>
    <w:p w14:paraId="1CEE5683" w14:textId="77777777" w:rsidR="00D62E30" w:rsidRPr="0000177D" w:rsidRDefault="00D62E30" w:rsidP="00D62E30">
      <w:pPr>
        <w:pStyle w:val="Heading1"/>
        <w:rPr>
          <w:rFonts w:ascii="Arial" w:hAnsi="Arial" w:cs="Arial"/>
          <w:color w:val="000000"/>
          <w:sz w:val="22"/>
          <w:szCs w:val="22"/>
          <w:lang w:val="en"/>
        </w:rPr>
      </w:pPr>
      <w:r w:rsidRPr="0000177D">
        <w:rPr>
          <w:rFonts w:ascii="Arial" w:hAnsi="Arial" w:cs="Arial"/>
          <w:color w:val="000000"/>
          <w:sz w:val="22"/>
          <w:szCs w:val="22"/>
          <w:lang w:val="en"/>
        </w:rPr>
        <w:t xml:space="preserve">Congress Helped Banks Defang Key Rule </w:t>
      </w:r>
    </w:p>
    <w:p w14:paraId="7E79A3D9" w14:textId="77777777" w:rsidR="00D62E30" w:rsidRPr="0000177D" w:rsidRDefault="00D62E30" w:rsidP="00D62E30">
      <w:pPr>
        <w:pStyle w:val="Heading3"/>
        <w:shd w:val="clear" w:color="auto" w:fill="FFFFFF"/>
        <w:spacing w:line="480" w:lineRule="auto"/>
        <w:rPr>
          <w:rFonts w:ascii="Helvetica" w:hAnsi="Helvetica" w:cs="Arial"/>
          <w:color w:val="666666"/>
          <w:sz w:val="22"/>
          <w:szCs w:val="22"/>
          <w:lang w:val="en"/>
        </w:rPr>
      </w:pPr>
      <w:r w:rsidRPr="0000177D">
        <w:rPr>
          <w:rFonts w:ascii="Helvetica" w:hAnsi="Helvetica" w:cs="Arial"/>
          <w:color w:val="666666"/>
          <w:sz w:val="22"/>
          <w:szCs w:val="22"/>
          <w:lang w:val="en"/>
        </w:rPr>
        <w:t xml:space="preserve">By </w:t>
      </w:r>
      <w:hyperlink r:id="rId10" w:history="1">
        <w:r w:rsidRPr="0000177D">
          <w:rPr>
            <w:rFonts w:ascii="Helvetica" w:hAnsi="Helvetica" w:cs="Arial"/>
            <w:caps/>
            <w:color w:val="093D72"/>
            <w:spacing w:val="15"/>
            <w:sz w:val="22"/>
            <w:szCs w:val="22"/>
            <w:lang w:val="en"/>
          </w:rPr>
          <w:t>SUSAN PULLIAM</w:t>
        </w:r>
      </w:hyperlink>
      <w:r w:rsidRPr="0000177D">
        <w:rPr>
          <w:rFonts w:ascii="Helvetica" w:hAnsi="Helvetica" w:cs="Arial"/>
          <w:color w:val="666666"/>
          <w:sz w:val="22"/>
          <w:szCs w:val="22"/>
          <w:lang w:val="en"/>
        </w:rPr>
        <w:t xml:space="preserve"> and </w:t>
      </w:r>
      <w:hyperlink r:id="rId11" w:history="1">
        <w:r w:rsidRPr="0000177D">
          <w:rPr>
            <w:rFonts w:ascii="Helvetica" w:hAnsi="Helvetica" w:cs="Arial"/>
            <w:caps/>
            <w:color w:val="093D72"/>
            <w:spacing w:val="15"/>
            <w:sz w:val="22"/>
            <w:szCs w:val="22"/>
            <w:lang w:val="en"/>
          </w:rPr>
          <w:t>TOM MCGINTY</w:t>
        </w:r>
      </w:hyperlink>
      <w:r w:rsidRPr="0000177D">
        <w:rPr>
          <w:rFonts w:ascii="Helvetica" w:hAnsi="Helvetica" w:cs="Arial"/>
          <w:color w:val="666666"/>
          <w:sz w:val="22"/>
          <w:szCs w:val="22"/>
          <w:lang w:val="en"/>
        </w:rPr>
        <w:t xml:space="preserve"> </w:t>
      </w:r>
    </w:p>
    <w:p w14:paraId="1B8FA7E2"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Not long after the bottom fell out of the market for mortgage securities last fall, a group of financial firms took aim at an accounting rule that forced them to report billions of dollars of losses on those assets.</w:t>
      </w:r>
    </w:p>
    <w:p w14:paraId="712839E1"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Marshalling a multimillion-dollar lobbying campaign, these firms persuaded key members of Congress to pressure the accounting industry to change the rule in April. The payoff is likely to be fatter bottom lines in the second quarter.</w:t>
      </w:r>
    </w:p>
    <w:p w14:paraId="2F415018"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accounting issue lies at the heart of the financial crisis: Are the hardest-to-value securities worth no more than what the market is willing to pay, or did the market grow too dysfunctional to properly set values?</w:t>
      </w:r>
    </w:p>
    <w:p w14:paraId="77AA7D29" w14:textId="77777777" w:rsidR="00D62E30" w:rsidRPr="0000177D" w:rsidRDefault="00AF772F" w:rsidP="00D62E30">
      <w:pPr>
        <w:pStyle w:val="NormalWeb"/>
        <w:shd w:val="clear" w:color="auto" w:fill="FFFFFF"/>
        <w:rPr>
          <w:rFonts w:ascii="Arial" w:hAnsi="Arial" w:cs="Arial"/>
          <w:color w:val="000000"/>
          <w:sz w:val="22"/>
          <w:szCs w:val="22"/>
          <w:lang w:val="en"/>
        </w:rPr>
      </w:pPr>
      <w:hyperlink r:id="rId12" w:anchor="#" w:history="1">
        <w:r w:rsidR="00D62E30" w:rsidRPr="0000177D">
          <w:rPr>
            <w:rStyle w:val="Hyperlink"/>
            <w:rFonts w:ascii="Arial" w:hAnsi="Arial" w:cs="Arial"/>
            <w:sz w:val="22"/>
            <w:szCs w:val="22"/>
            <w:lang w:val="en"/>
          </w:rPr>
          <w:t>View Interactive</w:t>
        </w:r>
      </w:hyperlink>
    </w:p>
    <w:p w14:paraId="629082EE" w14:textId="77777777" w:rsidR="00D62E30" w:rsidRPr="0000177D" w:rsidRDefault="00D62E30" w:rsidP="00D62E30">
      <w:pPr>
        <w:shd w:val="clear" w:color="auto" w:fill="FFFFFF"/>
        <w:rPr>
          <w:rFonts w:ascii="Arial" w:hAnsi="Arial" w:cs="Arial"/>
          <w:color w:val="000000"/>
          <w:sz w:val="22"/>
          <w:szCs w:val="22"/>
          <w:lang w:val="en"/>
        </w:rPr>
      </w:pPr>
      <w:r>
        <w:rPr>
          <w:rFonts w:ascii="Arial" w:hAnsi="Arial" w:cs="Arial"/>
          <w:noProof/>
          <w:color w:val="093D72"/>
          <w:sz w:val="22"/>
          <w:szCs w:val="22"/>
        </w:rPr>
        <w:drawing>
          <wp:inline distT="0" distB="0" distL="0" distR="0" wp14:anchorId="63401F16" wp14:editId="2DF56EAD">
            <wp:extent cx="2493010" cy="1656080"/>
            <wp:effectExtent l="0" t="0" r="2540" b="1270"/>
            <wp:docPr id="7" name="Picture 7" descr="OB-DU263_assets_D_2009060212261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DU263_assets_D_200906021226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3010" cy="1656080"/>
                    </a:xfrm>
                    <a:prstGeom prst="rect">
                      <a:avLst/>
                    </a:prstGeom>
                    <a:noFill/>
                    <a:ln>
                      <a:noFill/>
                    </a:ln>
                  </pic:spPr>
                </pic:pic>
              </a:graphicData>
            </a:graphic>
          </wp:inline>
        </w:drawing>
      </w:r>
    </w:p>
    <w:p w14:paraId="5CFBDA2C"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See which PACs contributed to which representatives on the Financial Services Committee during the first quarter of 2009.</w:t>
      </w:r>
    </w:p>
    <w:p w14:paraId="44EDB189"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rule change angered some investor advocates. "This is political interference on a major issue, and it raises questions about whether accounting standards going forward will have the quality and integrity that the market needs," says Patrick Finnegan, director of financial-reporting policy for CFA Institute Centre for Financial Market Integrity, an investor trade group.</w:t>
      </w:r>
    </w:p>
    <w:p w14:paraId="6DC0AFA8"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Backers of the change say it was necessary because existing accounting rules never contemplated the kind of market turmoil that unfolded last year.</w:t>
      </w:r>
    </w:p>
    <w:p w14:paraId="141FA689"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rules had required banks, securities firms and insurers to use market prices to help assign values to mortgage securities and other assets that don't trade on exchanges -- to "mark to market." But when markets went haywire last fall, financial firms complained that the rules forced them to slash the value of many assets based on fire-sale prices. That contributed to big losses that depleted their capital and left several of the nation's largest firms on the brink of failure.</w:t>
      </w:r>
    </w:p>
    <w:p w14:paraId="1D449BD4"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Earlier this year, financial-services organizations put their lobbyists on the case. Thirty-one financial firms and trade groups formed a coalition and spent $27.6 million in the first quarter lobbying </w:t>
      </w:r>
      <w:smartTag w:uri="urn:schemas-microsoft-com:office:smarttags" w:element="State">
        <w:smartTag w:uri="urn:schemas-microsoft-com:office:smarttags" w:element="place">
          <w:r w:rsidRPr="0000177D">
            <w:rPr>
              <w:rFonts w:ascii="Arial" w:hAnsi="Arial" w:cs="Arial"/>
              <w:color w:val="000000"/>
              <w:sz w:val="22"/>
              <w:szCs w:val="22"/>
              <w:lang w:val="en"/>
            </w:rPr>
            <w:t>Washington</w:t>
          </w:r>
        </w:smartTag>
      </w:smartTag>
      <w:r w:rsidRPr="0000177D">
        <w:rPr>
          <w:rFonts w:ascii="Arial" w:hAnsi="Arial" w:cs="Arial"/>
          <w:color w:val="000000"/>
          <w:sz w:val="22"/>
          <w:szCs w:val="22"/>
          <w:lang w:val="en"/>
        </w:rPr>
        <w:t xml:space="preserve"> about the rule and other issues, according to a Wall Street Journal analysis of public filings. They also directed campaign contributions totaling $286,000 to legislators on a key committee, many of whom pushed for the rule change, the filings indicate.</w:t>
      </w:r>
    </w:p>
    <w:p w14:paraId="6C1AE77C"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View Full Image</w:t>
      </w:r>
    </w:p>
    <w:p w14:paraId="5F2F6739" w14:textId="77777777" w:rsidR="00D62E30" w:rsidRPr="0000177D" w:rsidRDefault="00D62E30" w:rsidP="00D62E30">
      <w:pPr>
        <w:shd w:val="clear" w:color="auto" w:fill="FFFFFF"/>
        <w:rPr>
          <w:rFonts w:ascii="Arial" w:hAnsi="Arial" w:cs="Arial"/>
          <w:color w:val="000000"/>
          <w:sz w:val="22"/>
          <w:szCs w:val="22"/>
          <w:lang w:val="en"/>
        </w:rPr>
      </w:pPr>
      <w:r>
        <w:rPr>
          <w:rFonts w:ascii="Arial" w:hAnsi="Arial" w:cs="Arial"/>
          <w:noProof/>
          <w:color w:val="000000"/>
          <w:sz w:val="22"/>
          <w:szCs w:val="22"/>
        </w:rPr>
        <w:drawing>
          <wp:inline distT="0" distB="0" distL="0" distR="0" wp14:anchorId="3BA3BAF7" wp14:editId="13486096">
            <wp:extent cx="2493010" cy="1656080"/>
            <wp:effectExtent l="0" t="0" r="2540" b="1270"/>
            <wp:docPr id="6" name="Picture 6" descr="Barney Frank and Paul Kanjo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ney Frank and Paul Kanjorsk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93010" cy="1656080"/>
                    </a:xfrm>
                    <a:prstGeom prst="rect">
                      <a:avLst/>
                    </a:prstGeom>
                    <a:noFill/>
                    <a:ln>
                      <a:noFill/>
                    </a:ln>
                  </pic:spPr>
                </pic:pic>
              </a:graphicData>
            </a:graphic>
          </wp:inline>
        </w:drawing>
      </w:r>
    </w:p>
    <w:p w14:paraId="3897D431" w14:textId="77777777" w:rsidR="00D62E30" w:rsidRPr="0000177D" w:rsidRDefault="00D62E30" w:rsidP="00D62E30">
      <w:pPr>
        <w:shd w:val="clear" w:color="auto" w:fill="FFFFFF"/>
        <w:rPr>
          <w:rFonts w:ascii="Arial" w:hAnsi="Arial" w:cs="Arial"/>
          <w:color w:val="000000"/>
          <w:sz w:val="22"/>
          <w:szCs w:val="22"/>
          <w:lang w:val="en"/>
        </w:rPr>
      </w:pPr>
      <w:r w:rsidRPr="0000177D">
        <w:rPr>
          <w:rStyle w:val="HTMLCite"/>
          <w:rFonts w:ascii="Arial" w:hAnsi="Arial" w:cs="Arial"/>
          <w:color w:val="000000"/>
          <w:sz w:val="22"/>
          <w:szCs w:val="22"/>
          <w:lang w:val="en"/>
        </w:rPr>
        <w:t>Getty Images</w:t>
      </w:r>
      <w:r w:rsidRPr="0000177D">
        <w:rPr>
          <w:rFonts w:ascii="Arial" w:hAnsi="Arial" w:cs="Arial"/>
          <w:color w:val="000000"/>
          <w:sz w:val="22"/>
          <w:szCs w:val="22"/>
          <w:lang w:val="en"/>
        </w:rPr>
        <w:t xml:space="preserve"> </w:t>
      </w:r>
    </w:p>
    <w:p w14:paraId="33B43784" w14:textId="77777777" w:rsidR="00D62E30" w:rsidRPr="0000177D" w:rsidRDefault="00D62E30" w:rsidP="00D62E30">
      <w:pPr>
        <w:pStyle w:val="targetcaption"/>
        <w:shd w:val="clear" w:color="auto" w:fill="FFFFFF"/>
        <w:rPr>
          <w:rFonts w:ascii="Arial" w:hAnsi="Arial" w:cs="Arial"/>
          <w:color w:val="000000"/>
          <w:sz w:val="22"/>
          <w:szCs w:val="22"/>
          <w:lang w:val="en"/>
        </w:rPr>
      </w:pPr>
      <w:r w:rsidRPr="0000177D">
        <w:rPr>
          <w:rFonts w:ascii="Arial" w:hAnsi="Arial" w:cs="Arial"/>
          <w:color w:val="000000"/>
          <w:sz w:val="22"/>
          <w:szCs w:val="22"/>
          <w:lang w:val="en"/>
        </w:rPr>
        <w:t>Financial Services Committee Chairman Barney Frank (D., Mass.), left, conferring in February with Rep. Paul Kanjorski (D., Pa.), says a 'wide range of people concerned about the economy, not just banks, were pushing for this.'</w:t>
      </w:r>
    </w:p>
    <w:p w14:paraId="23C28305" w14:textId="77777777" w:rsidR="00D62E30" w:rsidRPr="0000177D" w:rsidRDefault="00D62E30" w:rsidP="00D62E30">
      <w:pPr>
        <w:shd w:val="clear" w:color="auto" w:fill="FFFFFF"/>
        <w:rPr>
          <w:rFonts w:ascii="Arial" w:hAnsi="Arial" w:cs="Arial"/>
          <w:color w:val="000000"/>
          <w:sz w:val="22"/>
          <w:szCs w:val="22"/>
          <w:lang w:val="en"/>
        </w:rPr>
      </w:pPr>
      <w:r>
        <w:rPr>
          <w:rFonts w:ascii="Arial" w:hAnsi="Arial" w:cs="Arial"/>
          <w:noProof/>
          <w:color w:val="000000"/>
          <w:sz w:val="22"/>
          <w:szCs w:val="22"/>
        </w:rPr>
        <w:drawing>
          <wp:inline distT="0" distB="0" distL="0" distR="0" wp14:anchorId="5AAE1F93" wp14:editId="64FE365F">
            <wp:extent cx="180975" cy="180975"/>
            <wp:effectExtent l="0" t="0" r="9525" b="9525"/>
            <wp:docPr id="5" name="Picture 5" descr="Barney Frank and Paul Kanjo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ney Frank and Paul Kanjorsk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14:paraId="782915E7" w14:textId="77777777" w:rsidR="00D62E30" w:rsidRPr="0000177D" w:rsidRDefault="00D62E30" w:rsidP="00D62E30">
      <w:pPr>
        <w:shd w:val="clear" w:color="auto" w:fill="FFFFFF"/>
        <w:rPr>
          <w:rFonts w:ascii="Arial" w:hAnsi="Arial" w:cs="Arial"/>
          <w:color w:val="000000"/>
          <w:sz w:val="22"/>
          <w:szCs w:val="22"/>
          <w:lang w:val="en"/>
        </w:rPr>
      </w:pPr>
    </w:p>
    <w:p w14:paraId="5B3A3CDF"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Rep. Paul Kanjorski, a Pennsylvania Democrat who heads the House Financial Services subcommittee that pressed for the accounting change, received $18,500 from coalition members in the first quarter, the second-highest total among committee members, according to Federal Election Commission records. Over the past two years, Mr. Kanjorski received $704,000 in contributions from banking and insurance firms, the third-highest total among members of Congress, according to the FEC and the Center for Responsive Politics.</w:t>
      </w:r>
    </w:p>
    <w:p w14:paraId="643E1DE3"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A spokeswoman says Rep. Kanjorski believes the accounting industry's rule-making body, the Financial Accounting Standards Board, or FASB, made the right move since neither mark-to-market critics nor advocates are "entirely pleased with the outcome." She says campaign contributions didn't factor into the congressman's thinking.</w:t>
      </w:r>
    </w:p>
    <w:p w14:paraId="3E0D765D" w14:textId="77777777" w:rsidR="00D62E30" w:rsidRPr="0000177D" w:rsidRDefault="00D62E30" w:rsidP="00D62E30">
      <w:pPr>
        <w:pStyle w:val="Heading6"/>
        <w:shd w:val="clear" w:color="auto" w:fill="FFFFFF"/>
        <w:rPr>
          <w:rFonts w:ascii="Arial" w:hAnsi="Arial" w:cs="Arial"/>
          <w:color w:val="000000"/>
          <w:sz w:val="22"/>
          <w:szCs w:val="22"/>
          <w:lang w:val="en"/>
        </w:rPr>
      </w:pPr>
      <w:r w:rsidRPr="0000177D">
        <w:rPr>
          <w:rFonts w:ascii="Arial" w:hAnsi="Arial" w:cs="Arial"/>
          <w:color w:val="000000"/>
          <w:sz w:val="22"/>
          <w:szCs w:val="22"/>
          <w:lang w:val="en"/>
        </w:rPr>
        <w:t>Congressional Attention</w:t>
      </w:r>
    </w:p>
    <w:p w14:paraId="2582B304"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During a March 12 hearing before the House subcommittee, FASB came under intense pressure from committee members. "If the regulators and standard setters do not act now to improve the standards, then the Congress will have no other option than to act itself," Rep. Kanjorski said in his opening remarks.</w:t>
      </w:r>
    </w:p>
    <w:p w14:paraId="221A6324"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"We want you to act," Rep. Kanjorski told Robert Herz, FASB's chief. Mr. Herz waffled about how quickly the standards board could act. Rep. Kanjorski leaned over the dais. "You do understand the message that we're sending?" he said.</w:t>
      </w:r>
    </w:p>
    <w:p w14:paraId="695A28E1" w14:textId="77777777" w:rsidR="00D62E30" w:rsidRPr="0000177D" w:rsidRDefault="00D62E30" w:rsidP="00D62E30">
      <w:pPr>
        <w:shd w:val="clear" w:color="auto" w:fill="FFFFFF"/>
        <w:rPr>
          <w:rFonts w:ascii="Arial" w:hAnsi="Arial" w:cs="Arial"/>
          <w:color w:val="000000"/>
          <w:sz w:val="22"/>
          <w:szCs w:val="22"/>
          <w:lang w:val="en"/>
        </w:rPr>
      </w:pPr>
    </w:p>
    <w:p w14:paraId="42DF208C" w14:textId="77777777" w:rsidR="00D62E30" w:rsidRPr="0000177D" w:rsidRDefault="00D62E30" w:rsidP="00D62E30">
      <w:pPr>
        <w:shd w:val="clear" w:color="auto" w:fill="FFFFFF"/>
        <w:spacing w:before="120" w:after="120"/>
        <w:ind w:left="120"/>
        <w:outlineLvl w:val="3"/>
        <w:rPr>
          <w:rFonts w:ascii="Arial" w:hAnsi="Arial" w:cs="Arial"/>
          <w:b/>
          <w:bCs/>
          <w:color w:val="333333"/>
          <w:sz w:val="22"/>
          <w:szCs w:val="22"/>
          <w:lang w:val="en"/>
        </w:rPr>
      </w:pPr>
      <w:r w:rsidRPr="0000177D">
        <w:rPr>
          <w:rFonts w:ascii="Arial" w:hAnsi="Arial" w:cs="Arial"/>
          <w:b/>
          <w:bCs/>
          <w:color w:val="333333"/>
          <w:sz w:val="22"/>
          <w:szCs w:val="22"/>
          <w:lang w:val="en"/>
        </w:rPr>
        <w:t> </w:t>
      </w:r>
    </w:p>
    <w:p w14:paraId="04F0686A" w14:textId="77777777" w:rsidR="00D62E30" w:rsidRPr="0000177D" w:rsidRDefault="00D62E30" w:rsidP="00D62E30">
      <w:pPr>
        <w:shd w:val="clear" w:color="auto" w:fill="FFFFFF"/>
        <w:spacing w:before="120" w:after="120"/>
        <w:ind w:left="120"/>
        <w:outlineLvl w:val="3"/>
        <w:rPr>
          <w:rFonts w:ascii="Arial" w:hAnsi="Arial" w:cs="Arial"/>
          <w:b/>
          <w:bCs/>
          <w:color w:val="333333"/>
          <w:sz w:val="22"/>
          <w:szCs w:val="22"/>
          <w:lang w:val="en"/>
        </w:rPr>
      </w:pPr>
      <w:r w:rsidRPr="0000177D">
        <w:rPr>
          <w:rFonts w:ascii="Arial" w:hAnsi="Arial" w:cs="Arial"/>
          <w:b/>
          <w:bCs/>
          <w:color w:val="333333"/>
          <w:sz w:val="22"/>
          <w:szCs w:val="22"/>
          <w:lang w:val="en"/>
        </w:rPr>
        <w:t> </w:t>
      </w:r>
    </w:p>
    <w:p w14:paraId="15E25DE9" w14:textId="77777777" w:rsidR="00D62E30" w:rsidRPr="0000177D" w:rsidRDefault="00D62E30" w:rsidP="00D62E30">
      <w:pPr>
        <w:shd w:val="clear" w:color="auto" w:fill="FFFFFF"/>
        <w:spacing w:before="120" w:after="120"/>
        <w:ind w:left="120"/>
        <w:outlineLvl w:val="3"/>
        <w:rPr>
          <w:rFonts w:ascii="Arial" w:hAnsi="Arial" w:cs="Arial"/>
          <w:b/>
          <w:bCs/>
          <w:color w:val="333333"/>
          <w:sz w:val="22"/>
          <w:szCs w:val="22"/>
          <w:lang w:val="en"/>
        </w:rPr>
      </w:pPr>
      <w:r w:rsidRPr="0000177D">
        <w:rPr>
          <w:rFonts w:ascii="Arial" w:hAnsi="Arial" w:cs="Arial"/>
          <w:b/>
          <w:bCs/>
          <w:color w:val="333333"/>
          <w:sz w:val="22"/>
          <w:szCs w:val="22"/>
          <w:lang w:val="en"/>
        </w:rPr>
        <w:t> </w:t>
      </w:r>
    </w:p>
    <w:p w14:paraId="28397E5A"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"Yes," Mr. Herz replied. "I absolutely do, sir."</w:t>
      </w:r>
    </w:p>
    <w:p w14:paraId="40B0F9D8"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FASB made speedy revisions to its rules. In an interview, Mr. Herz said FASB merely accelerated the matter on its agenda, and tried to be responsive to input from investors and financial-services firms.</w:t>
      </w:r>
    </w:p>
    <w:p w14:paraId="606DA151"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The change helped turn around investor sentiment on banks. Financial firms had the option of reflecting the accounting change in their first-quarter results; they will be required to do so in the second quarter. </w:t>
      </w:r>
      <w:hyperlink r:id="rId17" w:history="1">
        <w:r w:rsidRPr="0000177D">
          <w:rPr>
            <w:rStyle w:val="Hyperlink"/>
            <w:rFonts w:ascii="Arial" w:hAnsi="Arial" w:cs="Arial"/>
            <w:sz w:val="22"/>
            <w:szCs w:val="22"/>
            <w:lang w:val="en"/>
          </w:rPr>
          <w:t>Wells Fargo</w:t>
        </w:r>
      </w:hyperlink>
      <w:r w:rsidRPr="0000177D">
        <w:rPr>
          <w:rFonts w:ascii="Arial" w:hAnsi="Arial" w:cs="Arial"/>
          <w:color w:val="000000"/>
          <w:sz w:val="22"/>
          <w:szCs w:val="22"/>
          <w:lang w:val="en"/>
        </w:rPr>
        <w:t xml:space="preserve"> &amp; Co. said the change increased its capital by $4.4 billion in the first quarter. </w:t>
      </w:r>
      <w:hyperlink r:id="rId18" w:history="1">
        <w:r w:rsidRPr="0000177D">
          <w:rPr>
            <w:rStyle w:val="Hyperlink"/>
            <w:rFonts w:ascii="Arial" w:hAnsi="Arial" w:cs="Arial"/>
            <w:sz w:val="22"/>
            <w:szCs w:val="22"/>
            <w:lang w:val="en"/>
          </w:rPr>
          <w:t>Citigroup</w:t>
        </w:r>
      </w:hyperlink>
      <w:r w:rsidRPr="0000177D">
        <w:rPr>
          <w:rFonts w:ascii="Arial" w:hAnsi="Arial" w:cs="Arial"/>
          <w:color w:val="000000"/>
          <w:sz w:val="22"/>
          <w:szCs w:val="22"/>
          <w:lang w:val="en"/>
        </w:rPr>
        <w:t xml:space="preserve"> Inc. said the change added $413 million to first-quarter earnings. The Federal Home Loan Bank of </w:t>
      </w:r>
      <w:smartTag w:uri="urn:schemas-microsoft-com:office:smarttags" w:element="City">
        <w:smartTag w:uri="urn:schemas-microsoft-com:office:smarttags" w:element="place">
          <w:r w:rsidRPr="0000177D">
            <w:rPr>
              <w:rFonts w:ascii="Arial" w:hAnsi="Arial" w:cs="Arial"/>
              <w:color w:val="000000"/>
              <w:sz w:val="22"/>
              <w:szCs w:val="22"/>
              <w:lang w:val="en"/>
            </w:rPr>
            <w:t>Boston</w:t>
          </w:r>
        </w:smartTag>
      </w:smartTag>
      <w:r w:rsidRPr="0000177D">
        <w:rPr>
          <w:rFonts w:ascii="Arial" w:hAnsi="Arial" w:cs="Arial"/>
          <w:color w:val="000000"/>
          <w:sz w:val="22"/>
          <w:szCs w:val="22"/>
          <w:lang w:val="en"/>
        </w:rPr>
        <w:t xml:space="preserve"> said the shift boosted its first-quarter earnings by $349 million.</w:t>
      </w:r>
    </w:p>
    <w:p w14:paraId="68D29610"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Robert Willens, a tax and accounting analyst, estimates that the changes will increase bank earnings in the second quarter by an average of 7%.</w:t>
      </w:r>
    </w:p>
    <w:p w14:paraId="71D3C464" w14:textId="77777777" w:rsidR="00D62E30" w:rsidRPr="0000177D" w:rsidRDefault="00D62E30" w:rsidP="00D62E30">
      <w:pPr>
        <w:pStyle w:val="Heading6"/>
        <w:shd w:val="clear" w:color="auto" w:fill="FFFFFF"/>
        <w:rPr>
          <w:rFonts w:ascii="Arial" w:hAnsi="Arial" w:cs="Arial"/>
          <w:color w:val="000000"/>
          <w:sz w:val="22"/>
          <w:szCs w:val="22"/>
          <w:lang w:val="en"/>
        </w:rPr>
      </w:pPr>
      <w:r w:rsidRPr="0000177D">
        <w:rPr>
          <w:rFonts w:ascii="Arial" w:hAnsi="Arial" w:cs="Arial"/>
          <w:color w:val="000000"/>
          <w:sz w:val="22"/>
          <w:szCs w:val="22"/>
          <w:lang w:val="en"/>
        </w:rPr>
        <w:t>Building Pressure</w:t>
      </w:r>
    </w:p>
    <w:p w14:paraId="642235B3"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The American Bankers Association, a trade group, acknowledges that it exerted pressure to change the rules. 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xml:space="preserve"> was the biggest donor to the campaign funds of committee members in the weeks before the hearing. It gave a total of $74,500 to 33 members of the committee in the first quarter, according to the Journal analysis of public filings. An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xml:space="preserve"> spokesman says that is its normal level of support for lawmakers, and that the initiative was part of a broader effort to change accounting rules.</w:t>
      </w:r>
    </w:p>
    <w:p w14:paraId="0F72FA28"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"We worked that hearing," says ABA President Edward Yingling. "We told people that the hearing should be used to talk about the big problems with 'mark to market,' and you had 20 straight members of Congress, one after another, turn to FASB and say, 'Fix it.'"</w:t>
      </w:r>
    </w:p>
    <w:p w14:paraId="48F39A1C"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banking industry's victory stands in contrast to at least one defeat it has been dealt in recent weeks, on new credit-card legislation.</w:t>
      </w:r>
    </w:p>
    <w:p w14:paraId="446C0C3F" w14:textId="77777777" w:rsidR="00D62E30" w:rsidRPr="0000177D" w:rsidRDefault="00D62E30" w:rsidP="00D62E30">
      <w:pPr>
        <w:pStyle w:val="Heading6"/>
        <w:shd w:val="clear" w:color="auto" w:fill="FFFFFF"/>
        <w:rPr>
          <w:rFonts w:ascii="Arial" w:hAnsi="Arial" w:cs="Arial"/>
          <w:color w:val="000000"/>
          <w:sz w:val="22"/>
          <w:szCs w:val="22"/>
          <w:lang w:val="en"/>
        </w:rPr>
      </w:pPr>
      <w:r w:rsidRPr="0000177D">
        <w:rPr>
          <w:rFonts w:ascii="Arial" w:hAnsi="Arial" w:cs="Arial"/>
          <w:color w:val="000000"/>
          <w:sz w:val="22"/>
          <w:szCs w:val="22"/>
          <w:lang w:val="en"/>
        </w:rPr>
        <w:t>Changing Environment</w:t>
      </w:r>
    </w:p>
    <w:p w14:paraId="001EB232"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Mark-to-market accounting has been around for decades. Many banks were content with the rules when the markets were going up. But the rules became a big problem in late 2007. As markets turned down, FASB clarified the rules and established how certain financial instruments, including mortgage securities, should be valued.</w:t>
      </w:r>
    </w:p>
    <w:p w14:paraId="34A6CB75"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guidelines said valuations should reflect "observable" input such as market prices whenever possible. They required banks to disclose extensive information about assets they were unable to value based on market prices.</w:t>
      </w:r>
    </w:p>
    <w:p w14:paraId="7DD8102F"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Financial firms last year reported losses or write-downs totaling roughly $175 billion, according to Michael Mayo, an analyst at the CLSA unit of Credit Agricole SA.</w:t>
      </w:r>
    </w:p>
    <w:p w14:paraId="64F1CAA4"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lobbying plan began taking shape last year. Stock and bond markets were tanking. Lehman Brothers Holdings Inc. collapsed in September. Some markets seized up, including those for mortgage securities. Investors worried that some banks and other financial firms might not survive if they didn't begin posting profits in 2009.</w:t>
      </w:r>
    </w:p>
    <w:p w14:paraId="2AF7E140"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Conrad Hewitt, then the Securities and Exchange Commission's chief accountant, says financial-services representatives, including 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's, called his office repeatedly. He says he met with executives of Citigroup and Wells Fargo, among others.</w:t>
      </w:r>
    </w:p>
    <w:p w14:paraId="02892EC4"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Last year, Mr. Hewitt recalls, he challenged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xml:space="preserve"> lobbyist Donna Fisher and a Wells Fargo executive on their valuation complaints. "If you say you're required to value the securities at 50 cents," he recalls asking, "and you believe that the securities are really worth 80 or 90 cents, do you have a lot of buyers because of this unusually low valuation?"</w:t>
      </w:r>
    </w:p>
    <w:p w14:paraId="63D3D8DD"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two responded that there were no buyers, according to Mr. Hewitt.</w:t>
      </w:r>
    </w:p>
    <w:p w14:paraId="513370F3"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"Then maybe the securities should be valued at </w:t>
      </w:r>
      <w:r w:rsidRPr="0000177D">
        <w:rPr>
          <w:rStyle w:val="Emphasis"/>
          <w:rFonts w:ascii="Arial" w:hAnsi="Arial" w:cs="Arial"/>
          <w:color w:val="000000"/>
          <w:sz w:val="22"/>
          <w:szCs w:val="22"/>
          <w:lang w:val="en"/>
        </w:rPr>
        <w:t xml:space="preserve">less </w:t>
      </w:r>
      <w:r w:rsidRPr="0000177D">
        <w:rPr>
          <w:rFonts w:ascii="Arial" w:hAnsi="Arial" w:cs="Arial"/>
          <w:color w:val="000000"/>
          <w:sz w:val="22"/>
          <w:szCs w:val="22"/>
          <w:lang w:val="en"/>
        </w:rPr>
        <w:t>than 50 cents," Mr. Hewitt says he responded.</w:t>
      </w:r>
    </w:p>
    <w:p w14:paraId="3D8102E1"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Ms. Fisher declined to comment, as did Wells Fargo. Mr. Hewitt now is a consultant to financial firms.</w:t>
      </w:r>
    </w:p>
    <w:p w14:paraId="19583B19"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 lobbying picked up early this year. Lawmakers were growing more concerned about the problems spreading. Federal regulators were forced to guarantee billions of dollars in uninsured deposits at credit unions, which are member-owned cooperative banks. The Federal Home Loan Banks -- cooperatives owned by more than 8,000 commercial banks, thrifts, credit unions and insurers -- took billions of dollars in write-downs on their mortgage securities.</w:t>
      </w:r>
    </w:p>
    <w:p w14:paraId="68DFDAE3"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Mr. Yingling, the </w:t>
      </w:r>
      <w:smartTag w:uri="urn:schemas-microsoft-com:office:smarttags" w:element="City">
        <w:r w:rsidRPr="0000177D">
          <w:rPr>
            <w:rFonts w:ascii="Arial" w:hAnsi="Arial" w:cs="Arial"/>
            <w:color w:val="000000"/>
            <w:sz w:val="22"/>
            <w:szCs w:val="22"/>
            <w:lang w:val="en"/>
          </w:rPr>
          <w:t>ABA</w:t>
        </w:r>
      </w:smartTag>
      <w:r w:rsidRPr="0000177D">
        <w:rPr>
          <w:rFonts w:ascii="Arial" w:hAnsi="Arial" w:cs="Arial"/>
          <w:color w:val="000000"/>
          <w:sz w:val="22"/>
          <w:szCs w:val="22"/>
          <w:lang w:val="en"/>
        </w:rPr>
        <w:t xml:space="preserve"> president, says his organization assigned at least four of its roughly dozen </w:t>
      </w:r>
      <w:smartTag w:uri="urn:schemas-microsoft-com:office:smarttags" w:element="State">
        <w:smartTag w:uri="urn:schemas-microsoft-com:office:smarttags" w:element="place">
          <w:r w:rsidRPr="0000177D">
            <w:rPr>
              <w:rFonts w:ascii="Arial" w:hAnsi="Arial" w:cs="Arial"/>
              <w:color w:val="000000"/>
              <w:sz w:val="22"/>
              <w:szCs w:val="22"/>
              <w:lang w:val="en"/>
            </w:rPr>
            <w:t>Washington</w:t>
          </w:r>
        </w:smartTag>
      </w:smartTag>
      <w:r w:rsidRPr="0000177D">
        <w:rPr>
          <w:rFonts w:ascii="Arial" w:hAnsi="Arial" w:cs="Arial"/>
          <w:color w:val="000000"/>
          <w:sz w:val="22"/>
          <w:szCs w:val="22"/>
          <w:lang w:val="en"/>
        </w:rPr>
        <w:t xml:space="preserve"> lobbyists to meet with members of the House Financial Services Committee.</w:t>
      </w:r>
    </w:p>
    <w:p w14:paraId="6EDD2821"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"Their instructions for the early part of this year were to talk to as many people about 'mark to market' as they can," he says.</w:t>
      </w:r>
    </w:p>
    <w:p w14:paraId="355968E2"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In late January, Mr. Yingling says, he met with Rep. Ed Perlmutter, a Colorado Democrat. Mr. Perlmutter said he was "very concerned" about the mark-to-market accounting issue.</w:t>
      </w:r>
    </w:p>
    <w:p w14:paraId="42197959"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xml:space="preserve"> sent campaign contributions, ranging from $500 to $5,000, to the 33 committee members. 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's political action committee, Mr. Yingling notes, was focusing on dozens of issues in addition to mark-to-market accounting.</w:t>
      </w:r>
    </w:p>
    <w:p w14:paraId="66511D9A"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Rep. Perlmutter received $2,500 from 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xml:space="preserve">, according to public filings. He says he believed the accounting rules were causing "a drastic loss in capital that never should have occurred." He says 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xml:space="preserve"> money "had no influence" on his thinking.</w:t>
      </w:r>
    </w:p>
    <w:p w14:paraId="50E987B8"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Rep. Frank Lucas, an Oklahoma Republican, also received $2,500 from the </w:t>
      </w:r>
      <w:smartTag w:uri="urn:schemas-microsoft-com:office:smarttags" w:element="City">
        <w:smartTag w:uri="urn:schemas-microsoft-com:office:smarttags" w:element="place">
          <w:r w:rsidRPr="0000177D">
            <w:rPr>
              <w:rFonts w:ascii="Arial" w:hAnsi="Arial" w:cs="Arial"/>
              <w:color w:val="000000"/>
              <w:sz w:val="22"/>
              <w:szCs w:val="22"/>
              <w:lang w:val="en"/>
            </w:rPr>
            <w:t>ABA</w:t>
          </w:r>
        </w:smartTag>
      </w:smartTag>
      <w:r w:rsidRPr="0000177D">
        <w:rPr>
          <w:rFonts w:ascii="Arial" w:hAnsi="Arial" w:cs="Arial"/>
          <w:color w:val="000000"/>
          <w:sz w:val="22"/>
          <w:szCs w:val="22"/>
          <w:lang w:val="en"/>
        </w:rPr>
        <w:t>, the filings indicate. He says the contributions didn't sway his thinking and that the rules were making it difficult for even healthy banks to weather the downturn.</w:t>
      </w:r>
    </w:p>
    <w:p w14:paraId="2A087177"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On Feb. 18, FASB said it didn't expect to complete its examination of mark-to-market standards until the end of June.</w:t>
      </w:r>
    </w:p>
    <w:p w14:paraId="20F5B0FB"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Banks, credit unions, Federal Home Loan Banks and insurance company trade associations launched in late February what they called the "Fair Value Coalition." Its goal was to change the accounting rules. The coalition itself raised no funds, leaving it to its members to make political contributions.</w:t>
      </w:r>
    </w:p>
    <w:p w14:paraId="0C93635B"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On March 5, Reps. Perlmutter and Lucas introduced legislation to broaden oversight of FASB, putting it under the purview of not only the SEC, but also the Federal Reserve Board, Treasury Department, Federal Deposit Insurance Corp. and the Public Company Accounting Oversight Board.</w:t>
      </w:r>
    </w:p>
    <w:p w14:paraId="0D574931"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Four days later, the Fair Value Coalition wrote to Rep. Barney Frank, the Massachusetts Democrat who heads the House Financial Services Committee, and to Rep. Spencer Bachus, an Alabama Republican who was an early advocate of changing the rules. The letter, signed by 31 institutions and trade groups, called on Congress to use the hearings to address the "unacceptable" pace of FASB and to "correct the unintended consequences" of mark-to-market accounting.</w:t>
      </w:r>
    </w:p>
    <w:p w14:paraId="689F99F1"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In an interview, Rep. Frank, who got $8,500 from coalition members in late March, said a "wide range of people concerned about the economy, not just banks, were pushing for this."</w:t>
      </w:r>
    </w:p>
    <w:p w14:paraId="4DE194C8"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Rep. Kanjorski scheduled a hearing on the issue for March 12. Bank lobbyists jammed a congressional hearing room. In his opening remarks, Rep. Kanjorski threatened that Congress would get involved if FASB didn't act. Rep. Perlmutter said mark-to-market accounting was "exaggerating and multiplying" the economic slump. "We have been dithering while this patient's been sick," he said.</w:t>
      </w:r>
    </w:p>
    <w:p w14:paraId="62159B84" w14:textId="77777777" w:rsidR="00D62E30" w:rsidRPr="0000177D" w:rsidRDefault="00D62E30" w:rsidP="00D62E30">
      <w:pPr>
        <w:pStyle w:val="Heading6"/>
        <w:shd w:val="clear" w:color="auto" w:fill="FFFFFF"/>
        <w:rPr>
          <w:rFonts w:ascii="Arial" w:hAnsi="Arial" w:cs="Arial"/>
          <w:color w:val="000000"/>
          <w:sz w:val="22"/>
          <w:szCs w:val="22"/>
          <w:lang w:val="en"/>
        </w:rPr>
      </w:pPr>
      <w:r w:rsidRPr="0000177D">
        <w:rPr>
          <w:rFonts w:ascii="Arial" w:hAnsi="Arial" w:cs="Arial"/>
          <w:color w:val="000000"/>
          <w:sz w:val="22"/>
          <w:szCs w:val="22"/>
          <w:lang w:val="en"/>
        </w:rPr>
        <w:t>Speedier Timetable</w:t>
      </w:r>
    </w:p>
    <w:p w14:paraId="71FBEF24"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Rep. Gary Ackerman (D., N.Y.) and Rep. Kanjorski pushed Mr. Herz to agree to a speedier timetable. They repeatedly cited Rep. Perlmutter's legislation to broaden oversight of FASB.</w:t>
      </w:r>
    </w:p>
    <w:p w14:paraId="69123043"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"It will be done in three weeks. Can and will," Rep. Ackerman instructed Mr. Herz.</w:t>
      </w:r>
    </w:p>
    <w:p w14:paraId="79D261AA"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"Yes," Mr. Herz replied.</w:t>
      </w:r>
    </w:p>
    <w:p w14:paraId="16F9A31B"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"Can and will," Rep. Ackerman repeated. Rep. Ackerman declined to comment through a spokesman.</w:t>
      </w:r>
    </w:p>
    <w:p w14:paraId="01F30F77"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A FASB director, Lawrence Smith, said at the time that FASB had little choice but to act. "We can't ignore what's going on around us," he said.</w:t>
      </w:r>
    </w:p>
    <w:p w14:paraId="64A4F4BC"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On April 2, FASB introduced the changes that lawmakers sought. In a draft proposal, FASB changed its rules to say that financial firms could "presume" markets were dysfunctional unless there was ample evidence otherwise. Then they could use internal models to set values, rather than market prices. Their models are not fully disclosed to investors.</w:t>
      </w:r>
    </w:p>
    <w:p w14:paraId="274DCC75"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But many investor groups opposed the changes. In the final proposal, FASB deleted the word "presume." It was a modest setback for the industry: Financial firms couldn't use internal pricing models to value assets unless a series of conditions existed indicating that markets were dysfunctional.</w:t>
      </w:r>
    </w:p>
    <w:p w14:paraId="6EA96E28" w14:textId="77777777" w:rsidR="00D62E30" w:rsidRPr="0000177D" w:rsidRDefault="00D62E30" w:rsidP="00D62E30">
      <w:pPr>
        <w:pStyle w:val="Heading6"/>
        <w:shd w:val="clear" w:color="auto" w:fill="FFFFFF"/>
        <w:rPr>
          <w:rFonts w:ascii="Arial" w:hAnsi="Arial" w:cs="Arial"/>
          <w:color w:val="000000"/>
          <w:sz w:val="22"/>
          <w:szCs w:val="22"/>
          <w:lang w:val="en"/>
        </w:rPr>
      </w:pPr>
      <w:r w:rsidRPr="0000177D">
        <w:rPr>
          <w:rFonts w:ascii="Arial" w:hAnsi="Arial" w:cs="Arial"/>
          <w:color w:val="000000"/>
          <w:sz w:val="22"/>
          <w:szCs w:val="22"/>
          <w:lang w:val="en"/>
        </w:rPr>
        <w:t>Backlash at FASB</w:t>
      </w:r>
    </w:p>
    <w:p w14:paraId="74F3E392"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 xml:space="preserve">Still, many saw the new rules as a watering down of standards. That triggered a backlash within FASB. At a meeting of a FASB advisory group in </w:t>
      </w:r>
      <w:smartTag w:uri="urn:schemas-microsoft-com:office:smarttags" w:element="State">
        <w:smartTag w:uri="urn:schemas-microsoft-com:office:smarttags" w:element="place">
          <w:r w:rsidRPr="0000177D">
            <w:rPr>
              <w:rFonts w:ascii="Arial" w:hAnsi="Arial" w:cs="Arial"/>
              <w:color w:val="000000"/>
              <w:sz w:val="22"/>
              <w:szCs w:val="22"/>
              <w:lang w:val="en"/>
            </w:rPr>
            <w:t>New York</w:t>
          </w:r>
        </w:smartTag>
      </w:smartTag>
      <w:r w:rsidRPr="0000177D">
        <w:rPr>
          <w:rFonts w:ascii="Arial" w:hAnsi="Arial" w:cs="Arial"/>
          <w:color w:val="000000"/>
          <w:sz w:val="22"/>
          <w:szCs w:val="22"/>
          <w:lang w:val="en"/>
        </w:rPr>
        <w:t xml:space="preserve"> on April 28, three of its members threatened to resign in protest, concerned that FASB had jeopardized its credibility.</w:t>
      </w:r>
    </w:p>
    <w:p w14:paraId="4B6E5FBC"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Lynn Turner, the SEC's former chief accountant and a former FASB member, was one of them. He says he doesn't think the banking industry will be satisfied until mark-to-market accounting is dismantled completely. "Despite efforts by FASB to give ground to the banks, enough is never enough," he says.</w:t>
      </w:r>
    </w:p>
    <w:p w14:paraId="645B8756"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Now, the Fair Value Coalition is gearing up to take on mark-to-market accounting again.</w:t>
      </w:r>
    </w:p>
    <w:p w14:paraId="2663D87E"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Fonts w:ascii="Arial" w:hAnsi="Arial" w:cs="Arial"/>
          <w:color w:val="000000"/>
          <w:sz w:val="22"/>
          <w:szCs w:val="22"/>
          <w:lang w:val="en"/>
        </w:rPr>
        <w:t>On April 27, a member of the House subcommittee sent a letter to Rep. Frank calling for another hearing to revisit the issue. A FASB spokesman says the group is continuing to look at the issue.</w:t>
      </w:r>
    </w:p>
    <w:p w14:paraId="5F7522FA" w14:textId="77777777" w:rsidR="00D62E30" w:rsidRPr="0000177D" w:rsidRDefault="00D62E30" w:rsidP="00D62E30">
      <w:pPr>
        <w:pStyle w:val="NormalWeb"/>
        <w:shd w:val="clear" w:color="auto" w:fill="FFFFFF"/>
        <w:rPr>
          <w:rFonts w:ascii="Arial" w:hAnsi="Arial" w:cs="Arial"/>
          <w:color w:val="000000"/>
          <w:sz w:val="22"/>
          <w:szCs w:val="22"/>
          <w:lang w:val="en"/>
        </w:rPr>
      </w:pPr>
      <w:r w:rsidRPr="0000177D">
        <w:rPr>
          <w:rStyle w:val="Strong"/>
          <w:rFonts w:ascii="Arial" w:hAnsi="Arial" w:cs="Arial"/>
          <w:color w:val="000000"/>
          <w:sz w:val="22"/>
          <w:szCs w:val="22"/>
          <w:lang w:val="en"/>
        </w:rPr>
        <w:t xml:space="preserve">Write to </w:t>
      </w:r>
      <w:r w:rsidRPr="0000177D">
        <w:rPr>
          <w:rFonts w:ascii="Arial" w:hAnsi="Arial" w:cs="Arial"/>
          <w:color w:val="000000"/>
          <w:sz w:val="22"/>
          <w:szCs w:val="22"/>
          <w:lang w:val="en"/>
        </w:rPr>
        <w:t xml:space="preserve">Susan Pulliam at </w:t>
      </w:r>
      <w:hyperlink r:id="rId19" w:history="1">
        <w:r w:rsidRPr="0000177D">
          <w:rPr>
            <w:rStyle w:val="Hyperlink"/>
            <w:rFonts w:ascii="Arial" w:hAnsi="Arial" w:cs="Arial"/>
            <w:sz w:val="22"/>
            <w:szCs w:val="22"/>
            <w:lang w:val="en"/>
          </w:rPr>
          <w:t>susan.pulliam@wsj.com</w:t>
        </w:r>
      </w:hyperlink>
      <w:r w:rsidRPr="0000177D">
        <w:rPr>
          <w:rFonts w:ascii="Arial" w:hAnsi="Arial" w:cs="Arial"/>
          <w:color w:val="000000"/>
          <w:sz w:val="22"/>
          <w:szCs w:val="22"/>
          <w:lang w:val="en"/>
        </w:rPr>
        <w:t xml:space="preserve"> and Tom McGinty at </w:t>
      </w:r>
      <w:hyperlink r:id="rId20" w:history="1">
        <w:r w:rsidRPr="0000177D">
          <w:rPr>
            <w:rStyle w:val="Hyperlink"/>
            <w:rFonts w:ascii="Arial" w:hAnsi="Arial" w:cs="Arial"/>
            <w:sz w:val="22"/>
            <w:szCs w:val="22"/>
            <w:lang w:val="en"/>
          </w:rPr>
          <w:t>tom.mcginty@wsj.com</w:t>
        </w:r>
      </w:hyperlink>
    </w:p>
    <w:p w14:paraId="2BCBBC6B" w14:textId="77777777" w:rsidR="00D62E30" w:rsidRPr="0000177D" w:rsidRDefault="00D62E30" w:rsidP="00D62E30">
      <w:pPr>
        <w:rPr>
          <w:sz w:val="22"/>
          <w:szCs w:val="22"/>
          <w:lang w:val="en"/>
        </w:rPr>
      </w:pPr>
    </w:p>
    <w:p w14:paraId="4208286B" w14:textId="77777777" w:rsidR="00D62E30" w:rsidRPr="0000177D" w:rsidRDefault="00D62E30" w:rsidP="00D62E30">
      <w:pPr>
        <w:rPr>
          <w:sz w:val="22"/>
          <w:szCs w:val="22"/>
        </w:rPr>
      </w:pPr>
    </w:p>
    <w:p w14:paraId="4E0358A7" w14:textId="77777777" w:rsidR="00D62E30" w:rsidRPr="0000177D" w:rsidRDefault="00D62E30" w:rsidP="00D62E30">
      <w:pPr>
        <w:shd w:val="clear" w:color="auto" w:fill="FFFFFF"/>
        <w:spacing w:before="100" w:beforeAutospacing="1" w:after="100" w:afterAutospacing="1"/>
        <w:outlineLvl w:val="2"/>
        <w:rPr>
          <w:rFonts w:ascii="Arial" w:hAnsi="Arial" w:cs="Arial"/>
          <w:b/>
          <w:bCs/>
          <w:sz w:val="22"/>
          <w:szCs w:val="22"/>
          <w:lang w:val="en"/>
        </w:rPr>
      </w:pPr>
      <w:r w:rsidRPr="0000177D">
        <w:rPr>
          <w:rFonts w:ascii="Arial" w:hAnsi="Arial" w:cs="Arial"/>
          <w:b/>
          <w:bCs/>
          <w:sz w:val="22"/>
          <w:szCs w:val="22"/>
          <w:lang w:val="en"/>
        </w:rPr>
        <w:t>Comment by Robert Kaplan and Robert Merton: Disclose the fair value of complex securities</w:t>
      </w:r>
    </w:p>
    <w:p w14:paraId="716CD8F4" w14:textId="77777777" w:rsidR="00D62E30" w:rsidRPr="0000177D" w:rsidRDefault="00D62E30" w:rsidP="00D62E30">
      <w:pPr>
        <w:shd w:val="clear" w:color="auto" w:fill="FFFFFF"/>
        <w:rPr>
          <w:rFonts w:ascii="Arial" w:hAnsi="Arial" w:cs="Arial"/>
          <w:sz w:val="22"/>
          <w:szCs w:val="22"/>
          <w:lang w:val="en"/>
        </w:rPr>
      </w:pPr>
      <w:r w:rsidRPr="0000177D">
        <w:rPr>
          <w:rFonts w:ascii="Arial" w:hAnsi="Arial" w:cs="Arial"/>
          <w:sz w:val="22"/>
          <w:szCs w:val="22"/>
          <w:lang w:val="en"/>
        </w:rPr>
        <w:t>By Robert Kaplan, Robert Merton and Scott Richard</w:t>
      </w:r>
    </w:p>
    <w:p w14:paraId="77CC041F"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Banks and other financial institutions are lobbying against fair-value accounting for their asset holdings. They claim many of their assets are not impaired, that they intend to hold them to maturity anyway and that recent transaction prices reflect distressed sales into an illiquid market, not what the assets are actually worth. Legislatures and regulators support these arguments, preferring to conceal depressed asset prices rather than deal with the consequences of insolvent banks.</w:t>
      </w:r>
    </w:p>
    <w:p w14:paraId="68C70049"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This is not the way forward. While regulators and legislators are keen to find simple solutions to complex problems, allowing financial institutions to ignore market transactions is a bad idea.</w:t>
      </w:r>
    </w:p>
    <w:p w14:paraId="3562E76F"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A bank typically argues that a mortgage loan for which it continues to receive regular monthly payments is not impaired and does not need to be written down. A potential purchaser of the loan, however, is unlikely to value it at its origination value. The purchaser calculates a loan-to-value ratio using the current, much lower value of the house. After calculating the likelihood of default, the potential buyer works out a price balancing the risk of default and amount that might be lost - a price well below the carrying value on the bank's books.</w:t>
      </w:r>
    </w:p>
    <w:p w14:paraId="2E554AEB"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The bank is likely to ignore this offered price, or trades of similar assets, with the claim that unusual market conditions, not a decline in the value of the assets, causes a lack of buyers at the origination price. Its real motive, however, is to avoid recognising a loss. Yet, by keeping assets at their origination value, the bank is also entertaining the curious possibility that its trading desk could acquire an identical loan at a lower price and then carry two identical securities at vastly different prices.</w:t>
      </w:r>
    </w:p>
    <w:p w14:paraId="1927D8B0"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Financial assets, even complex pools of assets, trade continuously in markets. Markets function best when companies disclose valid information about the values of their assets and future cash flows. If companies choose not to disclose their best estimates of the fair values of their assets, market participants will make their own judgments about future cash flows and subtract a risk premium for non-disclosure. Good accounting should reduce such dead-weight losses.</w:t>
      </w:r>
    </w:p>
    <w:p w14:paraId="28B09E12"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 xml:space="preserve">This already happens in another financial sector. Mutual funds in the </w:t>
      </w:r>
      <w:smartTag w:uri="urn:schemas-microsoft-com:office:smarttags" w:element="country-region">
        <w:smartTag w:uri="urn:schemas-microsoft-com:office:smarttags" w:element="place">
          <w:r w:rsidRPr="0000177D">
            <w:rPr>
              <w:rFonts w:ascii="Arial" w:hAnsi="Arial" w:cs="Arial"/>
              <w:sz w:val="22"/>
              <w:szCs w:val="22"/>
              <w:lang w:val="en"/>
            </w:rPr>
            <w:t>US</w:t>
          </w:r>
        </w:smartTag>
      </w:smartTag>
      <w:r w:rsidRPr="0000177D">
        <w:rPr>
          <w:rFonts w:ascii="Arial" w:hAnsi="Arial" w:cs="Arial"/>
          <w:sz w:val="22"/>
          <w:szCs w:val="22"/>
          <w:lang w:val="en"/>
        </w:rPr>
        <w:t xml:space="preserve"> now use models, rather than the last traded price, to provide estimates of the fair values of their assets that trade in overseas markets. The models forecast the prices at which these overseas assets will trade the following morning based on the closing transaction prices of similar assets in the </w:t>
      </w:r>
      <w:smartTag w:uri="urn:schemas-microsoft-com:office:smarttags" w:element="country-region">
        <w:smartTag w:uri="urn:schemas-microsoft-com:office:smarttags" w:element="place">
          <w:r w:rsidRPr="0000177D">
            <w:rPr>
              <w:rFonts w:ascii="Arial" w:hAnsi="Arial" w:cs="Arial"/>
              <w:sz w:val="22"/>
              <w:szCs w:val="22"/>
              <w:lang w:val="en"/>
            </w:rPr>
            <w:t>US</w:t>
          </w:r>
        </w:smartTag>
      </w:smartTag>
      <w:r w:rsidRPr="0000177D">
        <w:rPr>
          <w:rFonts w:ascii="Arial" w:hAnsi="Arial" w:cs="Arial"/>
          <w:sz w:val="22"/>
          <w:szCs w:val="22"/>
          <w:lang w:val="en"/>
        </w:rPr>
        <w:t xml:space="preserve"> market. In this way, the funds ensure that their shareholders do not trade at biased net asset values calculated from stale prices. Banks can similarly use models to update the prices that would be paid for various assets. Trading desks in financial institutions have models that allow them to predict prices to within 5 per cent of what would be offered for even their complex asset pools.</w:t>
      </w:r>
    </w:p>
    <w:p w14:paraId="1AACF2FB"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Obtaining fair-value estimates for complex pools of asset-backed securities, of course, is not trivial. But these days it is possible for a bank's analysts to use recent market transaction prices as reference points and then adjust for the unique characteristics of the assets they actually hold, such as the specific local housing prices underlying their mortgage assets.</w:t>
      </w:r>
    </w:p>
    <w:p w14:paraId="77F243DF"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For fair-value estimates made by internal bank analysts to be credible, they need to be independently validated by external auditors. Many certified auditors, however, have little training or experience in the models used to calculate fair-value estimates. In this case, auditing firms can use outside experts, much as they do today with actuaries and lawyers who provide an independent attestation to other complex estimates disclosed in a company's financial statements. The higher cost of using independent experts is part of the price of originating and investing in complex, infrequently traded financial instruments.</w:t>
      </w:r>
    </w:p>
    <w:p w14:paraId="2422C729"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Legislators and regulators fear that marking banks' assets down to fair-value estimates will trigger automatic actions as capital ratios deteriorate. But using accounting rules to mislead regulators with inaccurate information is a poor policy. If capital calculations are based on inaccurate values of assets, the ratios are already lower than they appear. Banks should provide regulators with the best information about their assets and liabilities and, separately, allow them the flexibility and discretion to adjust capital adequacy ratios based on the economic situation. Regulators can lower capital ratios during downturns and raise them during good economic times.</w:t>
      </w:r>
    </w:p>
    <w:p w14:paraId="653F4131"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sz w:val="22"/>
          <w:szCs w:val="22"/>
          <w:lang w:val="en"/>
        </w:rPr>
        <w:t>No system of disclosing the fair value of complex securities is perfect. Models can be misused or misinterpreted. But reasonable and auditable methods exist today to incorporate the information in the most recent market prices. Investors, creditors, boards and regulators need not base decisions on biased values of a company's financial assets and liabilities.</w:t>
      </w:r>
    </w:p>
    <w:p w14:paraId="46B4D1B6" w14:textId="77777777" w:rsidR="00D62E30" w:rsidRPr="0000177D" w:rsidRDefault="00D62E30" w:rsidP="00D62E30">
      <w:pPr>
        <w:shd w:val="clear" w:color="auto" w:fill="FFFFFF"/>
        <w:spacing w:before="100" w:beforeAutospacing="1" w:after="312"/>
        <w:rPr>
          <w:rFonts w:ascii="Arial" w:hAnsi="Arial" w:cs="Arial"/>
          <w:sz w:val="22"/>
          <w:szCs w:val="22"/>
          <w:lang w:val="en"/>
        </w:rPr>
      </w:pPr>
      <w:r w:rsidRPr="0000177D">
        <w:rPr>
          <w:rFonts w:ascii="Arial" w:hAnsi="Arial" w:cs="Arial"/>
          <w:i/>
          <w:iCs/>
          <w:sz w:val="22"/>
          <w:szCs w:val="22"/>
          <w:lang w:val="en"/>
        </w:rPr>
        <w:t xml:space="preserve">Robert Kaplan and Robert Merton, 1997 Nobel laureate in economics, are professors at </w:t>
      </w:r>
      <w:smartTag w:uri="urn:schemas-microsoft-com:office:smarttags" w:element="place">
        <w:smartTag w:uri="urn:schemas-microsoft-com:office:smarttags" w:element="PlaceName">
          <w:r w:rsidRPr="0000177D">
            <w:rPr>
              <w:rFonts w:ascii="Arial" w:hAnsi="Arial" w:cs="Arial"/>
              <w:i/>
              <w:iCs/>
              <w:sz w:val="22"/>
              <w:szCs w:val="22"/>
              <w:lang w:val="en"/>
            </w:rPr>
            <w:t>Harvard</w:t>
          </w:r>
        </w:smartTag>
        <w:r w:rsidRPr="0000177D">
          <w:rPr>
            <w:rFonts w:ascii="Arial" w:hAnsi="Arial" w:cs="Arial"/>
            <w:i/>
            <w:iCs/>
            <w:sz w:val="22"/>
            <w:szCs w:val="22"/>
            <w:lang w:val="en"/>
          </w:rPr>
          <w:t xml:space="preserve"> </w:t>
        </w:r>
        <w:smartTag w:uri="urn:schemas-microsoft-com:office:smarttags" w:element="PlaceName">
          <w:r w:rsidRPr="0000177D">
            <w:rPr>
              <w:rFonts w:ascii="Arial" w:hAnsi="Arial" w:cs="Arial"/>
              <w:i/>
              <w:iCs/>
              <w:sz w:val="22"/>
              <w:szCs w:val="22"/>
              <w:lang w:val="en"/>
            </w:rPr>
            <w:t>Business</w:t>
          </w:r>
        </w:smartTag>
        <w:r w:rsidRPr="0000177D">
          <w:rPr>
            <w:rFonts w:ascii="Arial" w:hAnsi="Arial" w:cs="Arial"/>
            <w:i/>
            <w:iCs/>
            <w:sz w:val="22"/>
            <w:szCs w:val="22"/>
            <w:lang w:val="en"/>
          </w:rPr>
          <w:t xml:space="preserve"> </w:t>
        </w:r>
        <w:smartTag w:uri="urn:schemas-microsoft-com:office:smarttags" w:element="PlaceType">
          <w:r w:rsidRPr="0000177D">
            <w:rPr>
              <w:rFonts w:ascii="Arial" w:hAnsi="Arial" w:cs="Arial"/>
              <w:i/>
              <w:iCs/>
              <w:sz w:val="22"/>
              <w:szCs w:val="22"/>
              <w:lang w:val="en"/>
            </w:rPr>
            <w:t>School</w:t>
          </w:r>
        </w:smartTag>
      </w:smartTag>
      <w:r w:rsidRPr="0000177D">
        <w:rPr>
          <w:rFonts w:ascii="Arial" w:hAnsi="Arial" w:cs="Arial"/>
          <w:i/>
          <w:iCs/>
          <w:sz w:val="22"/>
          <w:szCs w:val="22"/>
          <w:lang w:val="en"/>
        </w:rPr>
        <w:t>. Scott Richard is a professor at the Wharton School of the University of Pennsylvania</w:t>
      </w:r>
    </w:p>
    <w:p w14:paraId="21DE15F3" w14:textId="77777777" w:rsidR="005B334F" w:rsidRPr="005B334F" w:rsidRDefault="00D62E30" w:rsidP="005B334F">
      <w:pPr>
        <w:spacing w:before="100" w:beforeAutospacing="1" w:after="100" w:afterAutospacing="1"/>
        <w:rPr>
          <w:rFonts w:ascii="Arial" w:hAnsi="Arial" w:cs="Arial"/>
          <w:color w:val="000000"/>
          <w:sz w:val="22"/>
          <w:szCs w:val="22"/>
          <w:lang w:val="en"/>
        </w:rPr>
      </w:pPr>
      <w:r w:rsidRPr="0000177D">
        <w:rPr>
          <w:sz w:val="22"/>
          <w:szCs w:val="22"/>
          <w:lang w:val="en"/>
        </w:rPr>
        <w:br w:type="page"/>
      </w:r>
    </w:p>
    <w:p w14:paraId="5FFCD528" w14:textId="77777777" w:rsidR="00D62E30" w:rsidRPr="0000177D" w:rsidRDefault="00AF772F" w:rsidP="00D62E30">
      <w:pPr>
        <w:numPr>
          <w:ilvl w:val="0"/>
          <w:numId w:val="1"/>
        </w:numPr>
        <w:spacing w:before="100" w:beforeAutospacing="1" w:after="100" w:afterAutospacing="1"/>
        <w:rPr>
          <w:rFonts w:ascii="Arial" w:hAnsi="Arial" w:cs="Arial"/>
          <w:color w:val="000000"/>
          <w:sz w:val="22"/>
          <w:szCs w:val="22"/>
          <w:lang w:val="en"/>
        </w:rPr>
      </w:pPr>
      <w:hyperlink r:id="rId21" w:history="1">
        <w:r w:rsidR="00D62E30" w:rsidRPr="0000177D">
          <w:rPr>
            <w:rStyle w:val="Hyperlink"/>
            <w:rFonts w:ascii="Arial" w:hAnsi="Arial" w:cs="Arial"/>
            <w:sz w:val="22"/>
            <w:szCs w:val="22"/>
            <w:lang w:val="en"/>
          </w:rPr>
          <w:t>HEARD ON THE STREET</w:t>
        </w:r>
      </w:hyperlink>
    </w:p>
    <w:p w14:paraId="018A3D1F" w14:textId="77777777" w:rsidR="00D62E30" w:rsidRPr="0000177D" w:rsidRDefault="00D62E30" w:rsidP="00D62E30">
      <w:pPr>
        <w:numPr>
          <w:ilvl w:val="0"/>
          <w:numId w:val="1"/>
        </w:numPr>
        <w:spacing w:before="100" w:beforeAutospacing="1" w:after="100" w:afterAutospacing="1"/>
        <w:rPr>
          <w:rFonts w:ascii="Arial" w:hAnsi="Arial" w:cs="Arial"/>
          <w:color w:val="000000"/>
          <w:sz w:val="22"/>
          <w:szCs w:val="22"/>
          <w:lang w:val="en"/>
        </w:rPr>
      </w:pPr>
      <w:r w:rsidRPr="0000177D">
        <w:rPr>
          <w:rFonts w:ascii="Arial" w:hAnsi="Arial" w:cs="Arial"/>
          <w:color w:val="666666"/>
          <w:sz w:val="22"/>
          <w:szCs w:val="22"/>
          <w:lang w:val="en"/>
        </w:rPr>
        <w:t>DECEMBER 30, 2009</w:t>
      </w:r>
    </w:p>
    <w:p w14:paraId="2F577CB8" w14:textId="77777777" w:rsidR="00D62E30" w:rsidRPr="0000177D" w:rsidRDefault="00D62E30" w:rsidP="00D62E30">
      <w:pPr>
        <w:pStyle w:val="Heading1"/>
        <w:rPr>
          <w:rFonts w:ascii="Arial" w:hAnsi="Arial" w:cs="Arial"/>
          <w:color w:val="000000"/>
          <w:sz w:val="22"/>
          <w:szCs w:val="22"/>
          <w:lang w:val="en"/>
        </w:rPr>
      </w:pPr>
      <w:r w:rsidRPr="0000177D">
        <w:rPr>
          <w:rFonts w:ascii="Arial" w:hAnsi="Arial" w:cs="Arial"/>
          <w:color w:val="000000"/>
          <w:sz w:val="22"/>
          <w:szCs w:val="22"/>
          <w:lang w:val="en"/>
        </w:rPr>
        <w:t xml:space="preserve">Accounting for Banks' Value Gaps </w:t>
      </w:r>
    </w:p>
    <w:p w14:paraId="4A5869FF" w14:textId="77777777" w:rsidR="00D62E30" w:rsidRPr="0000177D" w:rsidRDefault="00D62E30" w:rsidP="00D62E30">
      <w:pPr>
        <w:pStyle w:val="Heading3"/>
        <w:spacing w:line="480" w:lineRule="auto"/>
        <w:rPr>
          <w:rFonts w:ascii="Helvetica" w:hAnsi="Helvetica" w:cs="Arial"/>
          <w:color w:val="666666"/>
          <w:sz w:val="22"/>
          <w:szCs w:val="22"/>
          <w:lang w:val="en"/>
        </w:rPr>
      </w:pPr>
      <w:r w:rsidRPr="0000177D">
        <w:rPr>
          <w:rFonts w:ascii="Helvetica" w:hAnsi="Helvetica" w:cs="Arial"/>
          <w:color w:val="666666"/>
          <w:sz w:val="22"/>
          <w:szCs w:val="22"/>
          <w:lang w:val="en"/>
        </w:rPr>
        <w:t xml:space="preserve">By </w:t>
      </w:r>
      <w:hyperlink r:id="rId22" w:history="1">
        <w:r w:rsidRPr="0000177D">
          <w:rPr>
            <w:rFonts w:ascii="Helvetica" w:hAnsi="Helvetica" w:cs="Arial"/>
            <w:caps/>
            <w:color w:val="093D72"/>
            <w:spacing w:val="15"/>
            <w:sz w:val="22"/>
            <w:szCs w:val="22"/>
            <w:lang w:val="en"/>
          </w:rPr>
          <w:t>MICHAEL RAPOPORT</w:t>
        </w:r>
      </w:hyperlink>
      <w:r w:rsidRPr="0000177D">
        <w:rPr>
          <w:rFonts w:ascii="Helvetica" w:hAnsi="Helvetica" w:cs="Arial"/>
          <w:color w:val="666666"/>
          <w:sz w:val="22"/>
          <w:szCs w:val="22"/>
          <w:lang w:val="en"/>
        </w:rPr>
        <w:t xml:space="preserve"> </w:t>
      </w:r>
    </w:p>
    <w:p w14:paraId="3CE74819"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Can investors count on consistency when it comes to bank accounting? As many banks struggle with piles of bad loans, it appears some auditors are being stricter than others when assessing their true value. </w:t>
      </w:r>
    </w:p>
    <w:p w14:paraId="0FC5AAD2"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Banks using Ernst &amp; Young and Deloitte in particular are showing much sharper declines in the fair value of their loans than those using other accounting firms, a Wall Street Journal analysis shows. Of course, it is quite possible Ernst and Deloitte simply have a less-healthy group of bank clients than other firms. But if it instead reflects different audit policies when it comes to assessing loans, it could have consequences on the strength of banks' regulatory capital. </w:t>
      </w:r>
    </w:p>
    <w:p w14:paraId="2D36F58F" w14:textId="77777777" w:rsidR="00D62E30" w:rsidRPr="0000177D" w:rsidRDefault="00D62E30" w:rsidP="00D62E30">
      <w:pPr>
        <w:rPr>
          <w:rFonts w:ascii="Arial" w:hAnsi="Arial" w:cs="Arial"/>
          <w:color w:val="000000"/>
          <w:sz w:val="22"/>
          <w:szCs w:val="22"/>
          <w:lang w:val="en"/>
        </w:rPr>
      </w:pPr>
      <w:r>
        <w:rPr>
          <w:rFonts w:ascii="Arial" w:hAnsi="Arial" w:cs="Arial"/>
          <w:noProof/>
          <w:color w:val="000000"/>
          <w:sz w:val="22"/>
          <w:szCs w:val="22"/>
        </w:rPr>
        <w:drawing>
          <wp:inline distT="0" distB="0" distL="0" distR="0" wp14:anchorId="0778D0E7" wp14:editId="40F2E118">
            <wp:extent cx="3631565" cy="2553335"/>
            <wp:effectExtent l="0" t="0" r="6985" b="0"/>
            <wp:docPr id="4" name="Picture 4" descr="[BANKHE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NKHEAR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1565" cy="2553335"/>
                    </a:xfrm>
                    <a:prstGeom prst="rect">
                      <a:avLst/>
                    </a:prstGeom>
                    <a:noFill/>
                    <a:ln>
                      <a:noFill/>
                    </a:ln>
                  </pic:spPr>
                </pic:pic>
              </a:graphicData>
            </a:graphic>
          </wp:inline>
        </w:drawing>
      </w:r>
    </w:p>
    <w:p w14:paraId="30773C6D"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Banks carry most loans on their balance sheet at their original cost. But they must also disclose the loans' fair value, or current market value, in financial-statement footnotes. At most banks, despite the carnage of recent years, fair value is only below cost by a small amount. Some banks, however, show much steeper declines. At </w:t>
      </w:r>
      <w:hyperlink r:id="rId24" w:history="1">
        <w:r w:rsidRPr="0000177D">
          <w:rPr>
            <w:rStyle w:val="Hyperlink"/>
            <w:rFonts w:ascii="Arial" w:hAnsi="Arial" w:cs="Arial"/>
            <w:sz w:val="22"/>
            <w:szCs w:val="22"/>
            <w:lang w:val="en"/>
          </w:rPr>
          <w:t>Regions Financial</w:t>
        </w:r>
      </w:hyperlink>
      <w:r w:rsidRPr="0000177D">
        <w:rPr>
          <w:rFonts w:ascii="Arial" w:hAnsi="Arial" w:cs="Arial"/>
          <w:color w:val="000000"/>
          <w:sz w:val="22"/>
          <w:szCs w:val="22"/>
          <w:lang w:val="en"/>
        </w:rPr>
        <w:t xml:space="preserve">, fair value was 19.3% lower than cost as of Sept. 30. The difference was 13.4% at </w:t>
      </w:r>
      <w:hyperlink r:id="rId25" w:history="1">
        <w:r w:rsidRPr="0000177D">
          <w:rPr>
            <w:rStyle w:val="Hyperlink"/>
            <w:rFonts w:ascii="Arial" w:hAnsi="Arial" w:cs="Arial"/>
            <w:sz w:val="22"/>
            <w:szCs w:val="22"/>
            <w:lang w:val="en"/>
          </w:rPr>
          <w:t>Huntington Bancshares</w:t>
        </w:r>
      </w:hyperlink>
      <w:r w:rsidRPr="0000177D">
        <w:rPr>
          <w:rFonts w:ascii="Arial" w:hAnsi="Arial" w:cs="Arial"/>
          <w:color w:val="000000"/>
          <w:sz w:val="22"/>
          <w:szCs w:val="22"/>
          <w:lang w:val="en"/>
        </w:rPr>
        <w:t xml:space="preserve">, 12% at </w:t>
      </w:r>
      <w:hyperlink r:id="rId26" w:history="1">
        <w:r w:rsidRPr="0000177D">
          <w:rPr>
            <w:rStyle w:val="Hyperlink"/>
            <w:rFonts w:ascii="Arial" w:hAnsi="Arial" w:cs="Arial"/>
            <w:sz w:val="22"/>
            <w:szCs w:val="22"/>
            <w:lang w:val="en"/>
          </w:rPr>
          <w:t>KeyCorp</w:t>
        </w:r>
      </w:hyperlink>
      <w:r w:rsidRPr="0000177D">
        <w:rPr>
          <w:rFonts w:ascii="Arial" w:hAnsi="Arial" w:cs="Arial"/>
          <w:color w:val="000000"/>
          <w:sz w:val="22"/>
          <w:szCs w:val="22"/>
          <w:lang w:val="en"/>
        </w:rPr>
        <w:t xml:space="preserve">, 9% at </w:t>
      </w:r>
      <w:hyperlink r:id="rId27" w:history="1">
        <w:r w:rsidRPr="0000177D">
          <w:rPr>
            <w:rStyle w:val="Hyperlink"/>
            <w:rFonts w:ascii="Arial" w:hAnsi="Arial" w:cs="Arial"/>
            <w:sz w:val="22"/>
            <w:szCs w:val="22"/>
            <w:lang w:val="en"/>
          </w:rPr>
          <w:t>SunTrust Banks</w:t>
        </w:r>
      </w:hyperlink>
      <w:r w:rsidRPr="0000177D">
        <w:rPr>
          <w:rFonts w:ascii="Arial" w:hAnsi="Arial" w:cs="Arial"/>
          <w:color w:val="000000"/>
          <w:sz w:val="22"/>
          <w:szCs w:val="22"/>
          <w:lang w:val="en"/>
        </w:rPr>
        <w:t xml:space="preserve"> and 8.6% at </w:t>
      </w:r>
      <w:hyperlink r:id="rId28" w:history="1">
        <w:r w:rsidRPr="0000177D">
          <w:rPr>
            <w:rStyle w:val="Hyperlink"/>
            <w:rFonts w:ascii="Arial" w:hAnsi="Arial" w:cs="Arial"/>
            <w:sz w:val="22"/>
            <w:szCs w:val="22"/>
            <w:lang w:val="en"/>
          </w:rPr>
          <w:t>Marshall &amp; Ilsley</w:t>
        </w:r>
      </w:hyperlink>
      <w:r w:rsidRPr="0000177D">
        <w:rPr>
          <w:rFonts w:ascii="Arial" w:hAnsi="Arial" w:cs="Arial"/>
          <w:color w:val="000000"/>
          <w:sz w:val="22"/>
          <w:szCs w:val="22"/>
          <w:lang w:val="en"/>
        </w:rPr>
        <w:t xml:space="preserve">. Regions, Key and SunTrust are all audit clients of Ernst; </w:t>
      </w:r>
      <w:smartTag w:uri="urn:schemas-microsoft-com:office:smarttags" w:element="place">
        <w:smartTag w:uri="urn:schemas-microsoft-com:office:smarttags" w:element="City">
          <w:r w:rsidRPr="0000177D">
            <w:rPr>
              <w:rFonts w:ascii="Arial" w:hAnsi="Arial" w:cs="Arial"/>
              <w:color w:val="000000"/>
              <w:sz w:val="22"/>
              <w:szCs w:val="22"/>
              <w:lang w:val="en"/>
            </w:rPr>
            <w:t>Huntington</w:t>
          </w:r>
        </w:smartTag>
      </w:smartTag>
      <w:r w:rsidRPr="0000177D">
        <w:rPr>
          <w:rFonts w:ascii="Arial" w:hAnsi="Arial" w:cs="Arial"/>
          <w:color w:val="000000"/>
          <w:sz w:val="22"/>
          <w:szCs w:val="22"/>
          <w:lang w:val="en"/>
        </w:rPr>
        <w:t xml:space="preserve"> and M&amp;I are Deloitte clients.</w:t>
      </w:r>
    </w:p>
    <w:p w14:paraId="6955F464"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Among the top-25 U.S.-owned commercial banks, those five Ernst and Deloitte clients accounted for five of the six biggest gaps between fair value and cost as of Sept. 30. The average gap among Ernst and Deloitte clients in the 25-bank group was about 6%; among clients of PriceWaterhouseCoopers and KPMG, it was about 2%.</w:t>
      </w:r>
    </w:p>
    <w:p w14:paraId="218D9585"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Those differences can affect how investors view a bank's loan portfolio, and could have a concrete effect on regulatory capital in the future. The Financial Accounting Standards Board is considering changes in banks' accounting for loans and may require them to carry loans on the balance sheet at fair value instead of cost. </w:t>
      </w:r>
    </w:p>
    <w:p w14:paraId="4FADC617"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If that happened, the current fair-value declines could reduce shareholder equity and regulatory capital—in some cases, to levels regulators would find troublesome. At Regions, the $16.9 billion gap between its loans' fair value and carrying value would wipe out its $13 billion in Tier 1 capital using a fair-value balance-sheet standard. </w:t>
      </w:r>
      <w:smartTag w:uri="urn:schemas-microsoft-com:office:smarttags" w:element="City">
        <w:smartTag w:uri="urn:schemas-microsoft-com:office:smarttags" w:element="place">
          <w:r w:rsidRPr="0000177D">
            <w:rPr>
              <w:rFonts w:ascii="Arial" w:hAnsi="Arial" w:cs="Arial"/>
              <w:color w:val="000000"/>
              <w:sz w:val="22"/>
              <w:szCs w:val="22"/>
              <w:lang w:val="en"/>
            </w:rPr>
            <w:t>Huntington</w:t>
          </w:r>
        </w:smartTag>
      </w:smartTag>
      <w:r w:rsidRPr="0000177D">
        <w:rPr>
          <w:rFonts w:ascii="Arial" w:hAnsi="Arial" w:cs="Arial"/>
          <w:color w:val="000000"/>
          <w:sz w:val="22"/>
          <w:szCs w:val="22"/>
          <w:lang w:val="en"/>
        </w:rPr>
        <w:t xml:space="preserve">, Key and M&amp;I would see Tier 1 capital slashed to low levels. SunTrust would see a major Tier 1 reduction also. </w:t>
      </w:r>
    </w:p>
    <w:p w14:paraId="589531BA"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A move by the FASB to require banks to use fair value as the balance-sheet standard doesn't have to hurt the banks' regulatory capital. Bank regulators could adjust the capital measures they use so that they wouldn't be affected by a fair-value change. </w:t>
      </w:r>
    </w:p>
    <w:p w14:paraId="6EA19072"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But big hits to the fair value of loans still matter to investors. Who audits a bank's books may have importance beyond whose name goes on the letter blessing the financial statements once a year.</w:t>
      </w:r>
    </w:p>
    <w:p w14:paraId="472F6A7D" w14:textId="77777777" w:rsidR="00D62E30" w:rsidRPr="0000177D" w:rsidRDefault="00D62E30" w:rsidP="00D62E30">
      <w:pPr>
        <w:pStyle w:val="NormalWeb"/>
        <w:rPr>
          <w:rFonts w:ascii="Arial" w:hAnsi="Arial" w:cs="Arial"/>
          <w:color w:val="000000"/>
          <w:sz w:val="22"/>
          <w:szCs w:val="22"/>
          <w:lang w:val="en"/>
        </w:rPr>
      </w:pPr>
      <w:r w:rsidRPr="0000177D">
        <w:rPr>
          <w:rStyle w:val="Strong"/>
          <w:rFonts w:ascii="Arial" w:hAnsi="Arial" w:cs="Arial"/>
          <w:color w:val="000000"/>
          <w:sz w:val="22"/>
          <w:szCs w:val="22"/>
          <w:lang w:val="en"/>
        </w:rPr>
        <w:t xml:space="preserve">Write to </w:t>
      </w:r>
      <w:r w:rsidRPr="0000177D">
        <w:rPr>
          <w:rFonts w:ascii="Arial" w:hAnsi="Arial" w:cs="Arial"/>
          <w:color w:val="000000"/>
          <w:sz w:val="22"/>
          <w:szCs w:val="22"/>
          <w:lang w:val="en"/>
        </w:rPr>
        <w:t xml:space="preserve">Michael Rapoport at </w:t>
      </w:r>
      <w:hyperlink r:id="rId29" w:history="1">
        <w:r w:rsidRPr="0000177D">
          <w:rPr>
            <w:rStyle w:val="Hyperlink"/>
            <w:rFonts w:ascii="Arial" w:hAnsi="Arial" w:cs="Arial"/>
            <w:sz w:val="22"/>
            <w:szCs w:val="22"/>
            <w:lang w:val="en"/>
          </w:rPr>
          <w:t>Michael.Rapoport@dowjones.com</w:t>
        </w:r>
      </w:hyperlink>
      <w:r w:rsidRPr="0000177D">
        <w:rPr>
          <w:rFonts w:ascii="Arial" w:hAnsi="Arial" w:cs="Arial"/>
          <w:color w:val="000000"/>
          <w:sz w:val="22"/>
          <w:szCs w:val="22"/>
          <w:lang w:val="en"/>
        </w:rPr>
        <w:t xml:space="preserve"> </w:t>
      </w:r>
    </w:p>
    <w:p w14:paraId="011507AB" w14:textId="77777777" w:rsidR="00D62E30" w:rsidRPr="0000177D" w:rsidRDefault="00D62E30" w:rsidP="00D62E30">
      <w:pPr>
        <w:rPr>
          <w:rFonts w:ascii="Arial" w:hAnsi="Arial" w:cs="Arial"/>
          <w:color w:val="000000"/>
          <w:sz w:val="22"/>
          <w:szCs w:val="22"/>
          <w:lang w:val="en"/>
        </w:rPr>
      </w:pPr>
      <w:r w:rsidRPr="0000177D">
        <w:rPr>
          <w:rStyle w:val="HTMLCite"/>
          <w:rFonts w:ascii="Arial" w:hAnsi="Arial" w:cs="Arial"/>
          <w:color w:val="000000"/>
          <w:sz w:val="22"/>
          <w:szCs w:val="22"/>
          <w:lang w:val="en"/>
        </w:rPr>
        <w:t>Printed in The Wall Street Journal, page 32</w:t>
      </w:r>
      <w:r w:rsidRPr="0000177D">
        <w:rPr>
          <w:rFonts w:ascii="Arial" w:hAnsi="Arial" w:cs="Arial"/>
          <w:color w:val="000000"/>
          <w:sz w:val="22"/>
          <w:szCs w:val="22"/>
          <w:lang w:val="en"/>
        </w:rPr>
        <w:t xml:space="preserve"> </w:t>
      </w:r>
    </w:p>
    <w:p w14:paraId="1ED3DED3" w14:textId="77777777" w:rsidR="00D62E30" w:rsidRPr="0000177D" w:rsidRDefault="00D62E30" w:rsidP="00D62E30">
      <w:pPr>
        <w:numPr>
          <w:ilvl w:val="0"/>
          <w:numId w:val="2"/>
        </w:numPr>
        <w:spacing w:before="100" w:beforeAutospacing="1" w:after="100" w:afterAutospacing="1"/>
        <w:rPr>
          <w:rFonts w:ascii="Arial" w:hAnsi="Arial" w:cs="Arial"/>
          <w:color w:val="000000"/>
          <w:sz w:val="22"/>
          <w:szCs w:val="22"/>
          <w:lang w:val="en"/>
        </w:rPr>
      </w:pPr>
      <w:r w:rsidRPr="0000177D">
        <w:rPr>
          <w:sz w:val="22"/>
          <w:szCs w:val="22"/>
          <w:lang w:val="en"/>
        </w:rPr>
        <w:br w:type="page"/>
      </w:r>
      <w:r w:rsidRPr="0000177D">
        <w:rPr>
          <w:rFonts w:ascii="Arial" w:hAnsi="Arial" w:cs="Arial"/>
          <w:color w:val="666666"/>
          <w:sz w:val="22"/>
          <w:szCs w:val="22"/>
          <w:lang w:val="en"/>
        </w:rPr>
        <w:t>AUGUST 31, 2011</w:t>
      </w:r>
    </w:p>
    <w:p w14:paraId="411804DE" w14:textId="77777777" w:rsidR="00D62E30" w:rsidRPr="0000177D" w:rsidRDefault="00D62E30" w:rsidP="00D62E30">
      <w:pPr>
        <w:pStyle w:val="Heading1"/>
        <w:rPr>
          <w:rFonts w:ascii="Arial" w:hAnsi="Arial" w:cs="Arial"/>
          <w:color w:val="000000"/>
          <w:sz w:val="22"/>
          <w:szCs w:val="22"/>
          <w:lang w:val="en"/>
        </w:rPr>
      </w:pPr>
      <w:r w:rsidRPr="0000177D">
        <w:rPr>
          <w:rFonts w:ascii="Arial" w:hAnsi="Arial" w:cs="Arial"/>
          <w:color w:val="000000"/>
          <w:sz w:val="22"/>
          <w:szCs w:val="22"/>
          <w:lang w:val="en"/>
        </w:rPr>
        <w:t xml:space="preserve">Officials Warn Lenders On Greek-Debt Values </w:t>
      </w:r>
    </w:p>
    <w:p w14:paraId="517F912D" w14:textId="77777777" w:rsidR="00D62E30" w:rsidRPr="0000177D" w:rsidRDefault="00D62E30" w:rsidP="00D62E30">
      <w:pPr>
        <w:pStyle w:val="Heading3"/>
        <w:spacing w:line="480" w:lineRule="auto"/>
        <w:rPr>
          <w:rFonts w:ascii="Helvetica" w:hAnsi="Helvetica" w:cs="Helvetica"/>
          <w:color w:val="666666"/>
          <w:sz w:val="22"/>
          <w:szCs w:val="22"/>
          <w:lang w:val="en"/>
        </w:rPr>
      </w:pPr>
      <w:r w:rsidRPr="0000177D">
        <w:rPr>
          <w:rFonts w:ascii="Helvetica" w:hAnsi="Helvetica" w:cs="Helvetica"/>
          <w:color w:val="666666"/>
          <w:sz w:val="22"/>
          <w:szCs w:val="22"/>
          <w:lang w:val="en"/>
        </w:rPr>
        <w:t xml:space="preserve">By </w:t>
      </w:r>
      <w:hyperlink r:id="rId30" w:history="1">
        <w:r w:rsidRPr="0000177D">
          <w:rPr>
            <w:rFonts w:ascii="Helvetica" w:hAnsi="Helvetica" w:cs="Helvetica"/>
            <w:caps/>
            <w:color w:val="093D72"/>
            <w:spacing w:val="15"/>
            <w:sz w:val="22"/>
            <w:szCs w:val="22"/>
            <w:lang w:val="en"/>
          </w:rPr>
          <w:t>MICHAEL RAPOPORT</w:t>
        </w:r>
      </w:hyperlink>
      <w:r w:rsidRPr="0000177D">
        <w:rPr>
          <w:rFonts w:ascii="Helvetica" w:hAnsi="Helvetica" w:cs="Helvetica"/>
          <w:color w:val="666666"/>
          <w:sz w:val="22"/>
          <w:szCs w:val="22"/>
          <w:lang w:val="en"/>
        </w:rPr>
        <w:t xml:space="preserve"> And </w:t>
      </w:r>
      <w:hyperlink r:id="rId31" w:history="1">
        <w:r w:rsidRPr="0000177D">
          <w:rPr>
            <w:rFonts w:ascii="Helvetica" w:hAnsi="Helvetica" w:cs="Helvetica"/>
            <w:caps/>
            <w:color w:val="093D72"/>
            <w:spacing w:val="15"/>
            <w:sz w:val="22"/>
            <w:szCs w:val="22"/>
            <w:lang w:val="en"/>
          </w:rPr>
          <w:t>DAVID ENRICH</w:t>
        </w:r>
      </w:hyperlink>
      <w:r w:rsidRPr="0000177D">
        <w:rPr>
          <w:rFonts w:ascii="Helvetica" w:hAnsi="Helvetica" w:cs="Helvetica"/>
          <w:color w:val="666666"/>
          <w:sz w:val="22"/>
          <w:szCs w:val="22"/>
          <w:lang w:val="en"/>
        </w:rPr>
        <w:t xml:space="preserve"> </w:t>
      </w:r>
    </w:p>
    <w:p w14:paraId="25F1494F"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In an unusual move, international accounting rule makers said some European banks haven't taken big-enough write-downs on the value of the distressed Greek government debt they hold.</w:t>
      </w:r>
    </w:p>
    <w:p w14:paraId="34962CFF"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Some banks are using their own models to value their Greek bonds and other distressed sovereign debt when accounting rules dictate that they should be using market prices to determine the securities' fair value, the International Accounting Standards Board said in a letter this month to the European Union's chief securities regulator.</w:t>
      </w:r>
    </w:p>
    <w:p w14:paraId="00490F8D"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In some cases, using the "mark to model" approach, as opposed to "mark to market," may have helped some banks to dodge potentially painful losses in recent midyear financial reports.</w:t>
      </w:r>
    </w:p>
    <w:p w14:paraId="0DE650B1"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Banks are applying the rules on write-downs inconsistently, and that is "a matter of great concern to us," IASB Chairman Hans Hoogervorst wrote in the letter to the European Securities and Markets Authority. The IASB, which sets the accounting rules used in </w:t>
      </w:r>
      <w:smartTag w:uri="urn:schemas-microsoft-com:office:smarttags" w:element="place">
        <w:r w:rsidRPr="0000177D">
          <w:rPr>
            <w:rFonts w:ascii="Arial" w:hAnsi="Arial" w:cs="Arial"/>
            <w:color w:val="000000"/>
            <w:sz w:val="22"/>
            <w:szCs w:val="22"/>
            <w:lang w:val="en"/>
          </w:rPr>
          <w:t>Europe</w:t>
        </w:r>
      </w:smartTag>
      <w:r w:rsidRPr="0000177D">
        <w:rPr>
          <w:rFonts w:ascii="Arial" w:hAnsi="Arial" w:cs="Arial"/>
          <w:color w:val="000000"/>
          <w:sz w:val="22"/>
          <w:szCs w:val="22"/>
          <w:lang w:val="en"/>
        </w:rPr>
        <w:t xml:space="preserve"> and much of the rest of the world, doesn't usually comment on how its rules are applied, but the inconsistency prompted it to do so in this case, Mr. Hoogervorst said.</w:t>
      </w:r>
    </w:p>
    <w:p w14:paraId="57B2602E" w14:textId="77777777" w:rsidR="00D62E30" w:rsidRPr="0000177D" w:rsidRDefault="00D62E30" w:rsidP="00D62E30">
      <w:pPr>
        <w:spacing w:before="120" w:after="120"/>
        <w:ind w:left="120"/>
        <w:outlineLvl w:val="3"/>
        <w:rPr>
          <w:rFonts w:ascii="Arial" w:hAnsi="Arial" w:cs="Arial"/>
          <w:b/>
          <w:bCs/>
          <w:color w:val="333333"/>
          <w:sz w:val="22"/>
          <w:szCs w:val="22"/>
          <w:lang w:val="en"/>
        </w:rPr>
      </w:pPr>
      <w:r w:rsidRPr="0000177D">
        <w:rPr>
          <w:rFonts w:ascii="Arial" w:hAnsi="Arial" w:cs="Arial"/>
          <w:b/>
          <w:bCs/>
          <w:color w:val="333333"/>
          <w:sz w:val="22"/>
          <w:szCs w:val="22"/>
          <w:lang w:val="en"/>
        </w:rPr>
        <w:t>More:</w:t>
      </w:r>
    </w:p>
    <w:p w14:paraId="7120B0A9" w14:textId="77777777" w:rsidR="00D62E30" w:rsidRPr="0000177D" w:rsidRDefault="00AF772F" w:rsidP="00D62E30">
      <w:pPr>
        <w:pStyle w:val="NormalWeb"/>
        <w:rPr>
          <w:rFonts w:ascii="Arial" w:hAnsi="Arial" w:cs="Arial"/>
          <w:color w:val="000000"/>
          <w:sz w:val="22"/>
          <w:szCs w:val="22"/>
          <w:lang w:val="en"/>
        </w:rPr>
      </w:pPr>
      <w:hyperlink r:id="rId32" w:tgtFrame="_blank" w:history="1">
        <w:r w:rsidR="00D62E30" w:rsidRPr="0000177D">
          <w:rPr>
            <w:rStyle w:val="Hyperlink"/>
            <w:rFonts w:ascii="Arial" w:hAnsi="Arial" w:cs="Arial"/>
            <w:b/>
            <w:bCs/>
            <w:sz w:val="22"/>
            <w:szCs w:val="22"/>
            <w:lang w:val="en"/>
          </w:rPr>
          <w:t>View the IASB's Letter</w:t>
        </w:r>
      </w:hyperlink>
      <w:r w:rsidR="00D62E30" w:rsidRPr="0000177D">
        <w:rPr>
          <w:rFonts w:ascii="Arial" w:hAnsi="Arial" w:cs="Arial"/>
          <w:b/>
          <w:bCs/>
          <w:color w:val="000000"/>
          <w:sz w:val="22"/>
          <w:szCs w:val="22"/>
          <w:lang w:val="en"/>
        </w:rPr>
        <w:t xml:space="preserve"> </w:t>
      </w:r>
    </w:p>
    <w:p w14:paraId="0E2641A7"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In response to the letter, the ESMA is reviewing whether there are differences in how companies treat their sovereign debt and whether such differences are acceptable under accounting rules, the regulator said in a statement. The general findings will be shared with the IASB, the ESMA said.</w:t>
      </w:r>
    </w:p>
    <w:p w14:paraId="6CB159B0"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The letter was dated Aug. 4. The IASB didn't release it publicly until Tuesday, after the Financial Times reported on the IASB's concerns.</w:t>
      </w:r>
    </w:p>
    <w:p w14:paraId="6ACAB3B7"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The episode could add to questions about the strength of European banks at a time when many big lenders have been under pressure in the market. Shares of </w:t>
      </w:r>
      <w:smartTag w:uri="urn:schemas-microsoft-com:office:smarttags" w:element="country-region">
        <w:smartTag w:uri="urn:schemas-microsoft-com:office:smarttags" w:element="place">
          <w:r w:rsidRPr="0000177D">
            <w:rPr>
              <w:rFonts w:ascii="Arial" w:hAnsi="Arial" w:cs="Arial"/>
              <w:color w:val="000000"/>
              <w:sz w:val="22"/>
              <w:szCs w:val="22"/>
              <w:lang w:val="en"/>
            </w:rPr>
            <w:t>France</w:t>
          </w:r>
        </w:smartTag>
      </w:smartTag>
      <w:r w:rsidRPr="0000177D">
        <w:rPr>
          <w:rFonts w:ascii="Arial" w:hAnsi="Arial" w:cs="Arial"/>
          <w:color w:val="000000"/>
          <w:sz w:val="22"/>
          <w:szCs w:val="22"/>
          <w:lang w:val="en"/>
        </w:rPr>
        <w:t>'s Société Générale SA fell as much as 22% in a day this month amid doubts about big banks' capital and access to dollar funding.</w:t>
      </w:r>
    </w:p>
    <w:p w14:paraId="7D5D5A34"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International Monetary Fund chief Christine Lagarde called on Saturday for European countries to urgently recapitalize their banks. Others, however, have pointed to last month's "stress tests" as evidence that the Continent's banks aren't facing a widespread capital shortfall.</w:t>
      </w:r>
    </w:p>
    <w:p w14:paraId="015A7E4C"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"The only banks that need to be recapitalized are those that didn't pass the European stress tests," Bank of </w:t>
      </w:r>
      <w:smartTag w:uri="urn:schemas-microsoft-com:office:smarttags" w:element="country-region">
        <w:smartTag w:uri="urn:schemas-microsoft-com:office:smarttags" w:element="place">
          <w:r w:rsidRPr="0000177D">
            <w:rPr>
              <w:rFonts w:ascii="Arial" w:hAnsi="Arial" w:cs="Arial"/>
              <w:color w:val="000000"/>
              <w:sz w:val="22"/>
              <w:szCs w:val="22"/>
              <w:lang w:val="en"/>
            </w:rPr>
            <w:t>France</w:t>
          </w:r>
        </w:smartTag>
      </w:smartTag>
      <w:r w:rsidRPr="0000177D">
        <w:rPr>
          <w:rFonts w:ascii="Arial" w:hAnsi="Arial" w:cs="Arial"/>
          <w:color w:val="000000"/>
          <w:sz w:val="22"/>
          <w:szCs w:val="22"/>
          <w:lang w:val="en"/>
        </w:rPr>
        <w:t xml:space="preserve"> Governor Christian Noyer said in a television interview Tuesday. "There are a few banks that need to be recapitalized rapidly."</w:t>
      </w:r>
    </w:p>
    <w:p w14:paraId="07ABD166"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The issue of banks' inconsistent accounting drew attention when the banks announced second-quarter earnings. Banks generally were transparent about the size of the discounts they used and how they came up with those numbers, and they were explicit about the fact that there was a split in the industry, with banks using different accounting methods and arriving at varying loss estimates on similar bonds.</w:t>
      </w:r>
    </w:p>
    <w:p w14:paraId="658CFAD7"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Mr. Hoogervorst didn't single out any specific banks for criticism. But BNP Paribas SA is one bank that used an internal model to try to estimate the Greek bonds' value, arguing that they were so thinly traded that it was impossible to derive an accurate estimate of their value based on observable trades.Mr. Hoogervorstsaid that just because trading activity in a market has declined, that doesn't mean banks are free to ignore market prices when valuing a security. Even when using their own models, they are supposed to consider market prices as a factor.</w:t>
      </w:r>
    </w:p>
    <w:p w14:paraId="6C7FE5B4"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 xml:space="preserve">"Market prices not representative of fair value," </w:t>
      </w:r>
      <w:smartTag w:uri="urn:schemas-microsoft-com:office:smarttags" w:element="country-region">
        <w:smartTag w:uri="urn:schemas-microsoft-com:office:smarttags" w:element="place">
          <w:r w:rsidRPr="0000177D">
            <w:rPr>
              <w:rFonts w:ascii="Arial" w:hAnsi="Arial" w:cs="Arial"/>
              <w:color w:val="000000"/>
              <w:sz w:val="22"/>
              <w:szCs w:val="22"/>
              <w:lang w:val="en"/>
            </w:rPr>
            <w:t>France</w:t>
          </w:r>
        </w:smartTag>
      </w:smartTag>
      <w:r w:rsidRPr="0000177D">
        <w:rPr>
          <w:rFonts w:ascii="Arial" w:hAnsi="Arial" w:cs="Arial"/>
          <w:color w:val="000000"/>
          <w:sz w:val="22"/>
          <w:szCs w:val="22"/>
          <w:lang w:val="en"/>
        </w:rPr>
        <w:t>'s BNP Paribas executives said in an Aug. 2 investor slide presentation, citing "the illiquidity of the bonds." BNP arrived at a 21% discount to the bonds' book value, prompting the bank to set aside more than €500 million, or roughly $725 million, to cover the increased likelihood of losses.</w:t>
      </w:r>
    </w:p>
    <w:p w14:paraId="019C1997"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A BNP spokesman wasn't available to comment.</w:t>
      </w:r>
    </w:p>
    <w:p w14:paraId="5C8E583F"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By contrast, many other banks did attempt to value the Greek bonds at the prices that they were changing hands in the market—a method that pointed to the bonds being worth at most half of their face value. Royal Bank of Scotland Group PLC, for example, calculated a 50% loss rate on its £1.45 billion ($2.38 billion) of Greek government bonds, and set aside £733 million to cover potential losses. The bank said it could recoup some of those losses later this year, depending on the final outcome of the Greek debt restructuring.</w:t>
      </w:r>
    </w:p>
    <w:p w14:paraId="5BDC5109"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"Although the level of trading activity in Greek government bonds has decreased, transactions are still taking place," Mr. Hoogervorst said. The rules are "clear that unless there is evidence that the prices in those transactions do not represent fair value...the observed transactions prices should be used to measure fair value."</w:t>
      </w:r>
    </w:p>
    <w:p w14:paraId="2E1DBE02" w14:textId="77777777" w:rsidR="00D62E30" w:rsidRPr="0000177D" w:rsidRDefault="00D62E30" w:rsidP="00D62E30">
      <w:pPr>
        <w:pStyle w:val="NormalWeb"/>
        <w:rPr>
          <w:rFonts w:ascii="Arial" w:hAnsi="Arial" w:cs="Arial"/>
          <w:color w:val="000000"/>
          <w:sz w:val="22"/>
          <w:szCs w:val="22"/>
          <w:lang w:val="en"/>
        </w:rPr>
      </w:pPr>
      <w:r w:rsidRPr="0000177D">
        <w:rPr>
          <w:rFonts w:ascii="Arial" w:hAnsi="Arial" w:cs="Arial"/>
          <w:color w:val="000000"/>
          <w:sz w:val="22"/>
          <w:szCs w:val="22"/>
          <w:lang w:val="en"/>
        </w:rPr>
        <w:t>It is "hard to imagine" that there are buyers willing to buy the bonds at the prices suggested by the valuation methods some banks are using, he said.</w:t>
      </w:r>
    </w:p>
    <w:p w14:paraId="460F103E" w14:textId="77777777" w:rsidR="00D62E30" w:rsidRPr="0000177D" w:rsidRDefault="00D62E30" w:rsidP="00D62E30">
      <w:pPr>
        <w:rPr>
          <w:rFonts w:ascii="Arial" w:hAnsi="Arial" w:cs="Arial"/>
          <w:color w:val="000000"/>
          <w:sz w:val="22"/>
          <w:szCs w:val="22"/>
          <w:lang w:val="en"/>
        </w:rPr>
      </w:pPr>
      <w:r w:rsidRPr="0000177D">
        <w:rPr>
          <w:rStyle w:val="HTMLCite"/>
          <w:rFonts w:ascii="Arial" w:hAnsi="Arial" w:cs="Arial"/>
          <w:color w:val="000000"/>
          <w:sz w:val="22"/>
          <w:szCs w:val="22"/>
          <w:lang w:val="en"/>
        </w:rPr>
        <w:t>—William Launder, William Horobin and Noemie Bisserbe contributed to this article.</w:t>
      </w:r>
      <w:r w:rsidRPr="0000177D">
        <w:rPr>
          <w:rFonts w:ascii="Arial" w:hAnsi="Arial" w:cs="Arial"/>
          <w:color w:val="000000"/>
          <w:sz w:val="22"/>
          <w:szCs w:val="22"/>
          <w:lang w:val="en"/>
        </w:rPr>
        <w:t xml:space="preserve"> </w:t>
      </w:r>
    </w:p>
    <w:p w14:paraId="4AEEF93C" w14:textId="77777777" w:rsidR="00D62E30" w:rsidRPr="0000177D" w:rsidRDefault="00D62E30" w:rsidP="00D62E30">
      <w:pPr>
        <w:pStyle w:val="NormalWeb"/>
        <w:rPr>
          <w:rFonts w:ascii="Arial" w:hAnsi="Arial" w:cs="Arial"/>
          <w:color w:val="000000"/>
          <w:sz w:val="22"/>
          <w:szCs w:val="22"/>
          <w:lang w:val="en"/>
        </w:rPr>
      </w:pPr>
      <w:r w:rsidRPr="0000177D">
        <w:rPr>
          <w:rStyle w:val="Strong"/>
          <w:rFonts w:ascii="Arial" w:hAnsi="Arial" w:cs="Arial"/>
          <w:color w:val="000000"/>
          <w:sz w:val="22"/>
          <w:szCs w:val="22"/>
          <w:lang w:val="en"/>
        </w:rPr>
        <w:t xml:space="preserve">Write to </w:t>
      </w:r>
      <w:r w:rsidRPr="0000177D">
        <w:rPr>
          <w:rFonts w:ascii="Arial" w:hAnsi="Arial" w:cs="Arial"/>
          <w:color w:val="000000"/>
          <w:sz w:val="22"/>
          <w:szCs w:val="22"/>
          <w:lang w:val="en"/>
        </w:rPr>
        <w:t xml:space="preserve">Michael Rapoport at </w:t>
      </w:r>
      <w:hyperlink r:id="rId33" w:history="1">
        <w:r w:rsidRPr="0000177D">
          <w:rPr>
            <w:rStyle w:val="Hyperlink"/>
            <w:rFonts w:ascii="Arial" w:hAnsi="Arial" w:cs="Arial"/>
            <w:sz w:val="22"/>
            <w:szCs w:val="22"/>
            <w:lang w:val="en"/>
          </w:rPr>
          <w:t>Michael.Rapoport@dowjones.com</w:t>
        </w:r>
      </w:hyperlink>
      <w:r w:rsidRPr="0000177D">
        <w:rPr>
          <w:rFonts w:ascii="Arial" w:hAnsi="Arial" w:cs="Arial"/>
          <w:color w:val="000000"/>
          <w:sz w:val="22"/>
          <w:szCs w:val="22"/>
          <w:lang w:val="en"/>
        </w:rPr>
        <w:t xml:space="preserve"> and David Enrich at </w:t>
      </w:r>
      <w:hyperlink r:id="rId34" w:history="1">
        <w:r w:rsidRPr="0000177D">
          <w:rPr>
            <w:rStyle w:val="Hyperlink"/>
            <w:rFonts w:ascii="Arial" w:hAnsi="Arial" w:cs="Arial"/>
            <w:sz w:val="22"/>
            <w:szCs w:val="22"/>
            <w:lang w:val="en"/>
          </w:rPr>
          <w:t>david.enrich@wsj.com</w:t>
        </w:r>
      </w:hyperlink>
      <w:r w:rsidRPr="0000177D">
        <w:rPr>
          <w:rFonts w:ascii="Arial" w:hAnsi="Arial" w:cs="Arial"/>
          <w:color w:val="000000"/>
          <w:sz w:val="22"/>
          <w:szCs w:val="22"/>
          <w:lang w:val="en"/>
        </w:rPr>
        <w:t xml:space="preserve"> </w:t>
      </w:r>
    </w:p>
    <w:p w14:paraId="4CDC3D0D" w14:textId="77777777" w:rsidR="00D62E30" w:rsidRDefault="00D62E30" w:rsidP="00D62E30">
      <w:pPr>
        <w:numPr>
          <w:ilvl w:val="0"/>
          <w:numId w:val="3"/>
        </w:numPr>
        <w:spacing w:before="100" w:beforeAutospacing="1" w:after="100" w:afterAutospacing="1"/>
        <w:rPr>
          <w:rFonts w:ascii="Arial" w:hAnsi="Arial" w:cs="Arial"/>
          <w:color w:val="666666"/>
          <w:sz w:val="17"/>
          <w:szCs w:val="17"/>
          <w:lang w:val="en"/>
        </w:rPr>
      </w:pPr>
      <w:r>
        <w:rPr>
          <w:sz w:val="22"/>
          <w:szCs w:val="22"/>
          <w:lang w:val="en"/>
        </w:rPr>
        <w:br w:type="page"/>
      </w:r>
      <w:r>
        <w:rPr>
          <w:rFonts w:ascii="Arial" w:hAnsi="Arial" w:cs="Arial"/>
          <w:color w:val="666666"/>
          <w:sz w:val="17"/>
          <w:szCs w:val="17"/>
          <w:lang w:val="en"/>
        </w:rPr>
        <w:t>November 10, 2011</w:t>
      </w:r>
    </w:p>
    <w:p w14:paraId="381EF5CA" w14:textId="77777777" w:rsidR="00D62E30" w:rsidRDefault="00D62E30" w:rsidP="00D62E30">
      <w:pPr>
        <w:spacing w:before="100" w:beforeAutospacing="1" w:after="100" w:afterAutospacing="1"/>
        <w:outlineLvl w:val="1"/>
        <w:rPr>
          <w:rFonts w:ascii="Arial" w:hAnsi="Arial" w:cs="Arial"/>
          <w:color w:val="000000"/>
          <w:kern w:val="36"/>
          <w:sz w:val="15"/>
          <w:szCs w:val="15"/>
          <w:lang w:val="en"/>
        </w:rPr>
      </w:pPr>
      <w:r>
        <w:rPr>
          <w:rFonts w:ascii="Arial" w:hAnsi="Arial" w:cs="Arial"/>
          <w:color w:val="000000"/>
          <w:kern w:val="36"/>
          <w:sz w:val="15"/>
          <w:szCs w:val="15"/>
          <w:lang w:val="en"/>
        </w:rPr>
        <w:t xml:space="preserve">Bank Quandary: Valuing the Assets </w:t>
      </w:r>
    </w:p>
    <w:p w14:paraId="16C80699" w14:textId="77777777" w:rsidR="00D62E30" w:rsidRDefault="00D62E30" w:rsidP="00D62E30">
      <w:pPr>
        <w:spacing w:before="100" w:beforeAutospacing="1" w:line="480" w:lineRule="auto"/>
        <w:outlineLvl w:val="3"/>
        <w:rPr>
          <w:rFonts w:ascii="Helvetica" w:hAnsi="Helvetica" w:cs="Helvetica"/>
          <w:color w:val="666666"/>
          <w:sz w:val="17"/>
          <w:szCs w:val="17"/>
          <w:lang w:val="en"/>
        </w:rPr>
      </w:pPr>
      <w:r>
        <w:rPr>
          <w:rFonts w:ascii="Helvetica" w:hAnsi="Helvetica" w:cs="Helvetica"/>
          <w:color w:val="666666"/>
          <w:sz w:val="17"/>
          <w:szCs w:val="17"/>
          <w:lang w:val="en"/>
        </w:rPr>
        <w:t xml:space="preserve">By </w:t>
      </w:r>
      <w:hyperlink r:id="rId35" w:history="1">
        <w:r>
          <w:rPr>
            <w:rFonts w:ascii="Helvetica" w:hAnsi="Helvetica" w:cs="Helvetica"/>
            <w:caps/>
            <w:color w:val="093D72"/>
            <w:spacing w:val="15"/>
            <w:sz w:val="17"/>
            <w:szCs w:val="17"/>
            <w:lang w:val="en"/>
          </w:rPr>
          <w:t>LIZ RAPPAPORT</w:t>
        </w:r>
      </w:hyperlink>
      <w:r>
        <w:rPr>
          <w:rFonts w:ascii="Helvetica" w:hAnsi="Helvetica" w:cs="Helvetica"/>
          <w:color w:val="666666"/>
          <w:sz w:val="17"/>
          <w:szCs w:val="17"/>
          <w:lang w:val="en"/>
        </w:rPr>
        <w:t xml:space="preserve"> </w:t>
      </w:r>
    </w:p>
    <w:p w14:paraId="12B1E89D" w14:textId="77777777" w:rsidR="00D62E30" w:rsidRDefault="00AF772F" w:rsidP="00D62E30">
      <w:pPr>
        <w:spacing w:before="100" w:beforeAutospacing="1" w:after="100" w:afterAutospacing="1"/>
        <w:rPr>
          <w:rFonts w:ascii="Arial" w:hAnsi="Arial" w:cs="Arial"/>
          <w:color w:val="000000"/>
          <w:sz w:val="15"/>
          <w:szCs w:val="15"/>
          <w:lang w:val="en"/>
        </w:rPr>
      </w:pPr>
      <w:hyperlink r:id="rId36" w:history="1">
        <w:r w:rsidR="00D62E30">
          <w:rPr>
            <w:rFonts w:ascii="Arial" w:hAnsi="Arial" w:cs="Arial"/>
            <w:color w:val="093D72"/>
            <w:sz w:val="15"/>
            <w:szCs w:val="15"/>
            <w:lang w:val="en"/>
          </w:rPr>
          <w:t>Goldman Sachs Group</w:t>
        </w:r>
      </w:hyperlink>
      <w:r w:rsidR="00D62E30">
        <w:rPr>
          <w:rFonts w:ascii="Arial" w:hAnsi="Arial" w:cs="Arial"/>
          <w:color w:val="000000"/>
          <w:sz w:val="15"/>
          <w:szCs w:val="15"/>
          <w:lang w:val="en"/>
        </w:rPr>
        <w:t xml:space="preserve"> Inc. </w:t>
      </w:r>
      <w:hyperlink r:id="rId37" w:history="1">
        <w:r w:rsidR="00D62E30">
          <w:rPr>
            <w:rFonts w:ascii="Arial" w:hAnsi="Arial" w:cs="Arial"/>
            <w:color w:val="093D72"/>
            <w:sz w:val="13"/>
            <w:szCs w:val="13"/>
            <w:lang w:val="en"/>
          </w:rPr>
          <w:t>GS +1.84%</w:t>
        </w:r>
      </w:hyperlink>
      <w:r w:rsidR="00D62E30">
        <w:rPr>
          <w:rFonts w:ascii="Arial" w:hAnsi="Arial" w:cs="Arial"/>
          <w:color w:val="000000"/>
          <w:sz w:val="15"/>
          <w:szCs w:val="15"/>
          <w:lang w:val="en"/>
        </w:rPr>
        <w:t xml:space="preserve">and </w:t>
      </w:r>
      <w:hyperlink r:id="rId38" w:history="1">
        <w:r w:rsidR="00D62E30">
          <w:rPr>
            <w:rFonts w:ascii="Arial" w:hAnsi="Arial" w:cs="Arial"/>
            <w:color w:val="093D72"/>
            <w:sz w:val="15"/>
            <w:szCs w:val="15"/>
            <w:lang w:val="en"/>
          </w:rPr>
          <w:t>Morgan Stanley</w:t>
        </w:r>
      </w:hyperlink>
      <w:r w:rsidR="00D62E30">
        <w:rPr>
          <w:rFonts w:ascii="Arial" w:hAnsi="Arial" w:cs="Arial"/>
          <w:color w:val="000000"/>
          <w:sz w:val="15"/>
          <w:szCs w:val="15"/>
          <w:lang w:val="en"/>
        </w:rPr>
        <w:t xml:space="preserve">, </w:t>
      </w:r>
      <w:hyperlink r:id="rId39" w:history="1">
        <w:r w:rsidR="00D62E30">
          <w:rPr>
            <w:rFonts w:ascii="Arial" w:hAnsi="Arial" w:cs="Arial"/>
            <w:color w:val="093D72"/>
            <w:sz w:val="13"/>
            <w:szCs w:val="13"/>
            <w:lang w:val="en"/>
          </w:rPr>
          <w:t>MS +0.64%</w:t>
        </w:r>
      </w:hyperlink>
      <w:r w:rsidR="00D62E30">
        <w:rPr>
          <w:rFonts w:ascii="Arial" w:hAnsi="Arial" w:cs="Arial"/>
          <w:color w:val="000000"/>
          <w:sz w:val="15"/>
          <w:szCs w:val="15"/>
          <w:lang w:val="en"/>
        </w:rPr>
        <w:t>which became bank-holding companies to help them survive the financial crisis, are considering an accounting change that would make them look even more like a traditional bank.</w:t>
      </w:r>
    </w:p>
    <w:p w14:paraId="4E357805" w14:textId="77777777" w:rsidR="00D62E30" w:rsidRDefault="00D62E30" w:rsidP="00D62E30">
      <w:pPr>
        <w:shd w:val="clear" w:color="auto" w:fill="000000"/>
        <w:rPr>
          <w:rFonts w:ascii="Arial" w:hAnsi="Arial" w:cs="Arial"/>
          <w:color w:val="000000"/>
          <w:sz w:val="15"/>
          <w:szCs w:val="15"/>
          <w:lang w:val="en"/>
        </w:rPr>
      </w:pPr>
      <w:r>
        <w:rPr>
          <w:rFonts w:ascii="Arial" w:hAnsi="Arial" w:cs="Arial"/>
          <w:noProof/>
          <w:color w:val="093D72"/>
          <w:sz w:val="15"/>
          <w:szCs w:val="15"/>
        </w:rPr>
        <w:drawing>
          <wp:inline distT="0" distB="0" distL="0" distR="0" wp14:anchorId="40B231E1" wp14:editId="0F306E9E">
            <wp:extent cx="2587625" cy="1457960"/>
            <wp:effectExtent l="0" t="0" r="3175" b="8890"/>
            <wp:docPr id="3" name="Picture 3" descr="111011meanstreetbanks_512x288">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11011meanstreetbanks_512x2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87625" cy="1457960"/>
                    </a:xfrm>
                    <a:prstGeom prst="rect">
                      <a:avLst/>
                    </a:prstGeom>
                    <a:noFill/>
                    <a:ln>
                      <a:noFill/>
                    </a:ln>
                  </pic:spPr>
                </pic:pic>
              </a:graphicData>
            </a:graphic>
          </wp:inline>
        </w:drawing>
      </w:r>
    </w:p>
    <w:p w14:paraId="744A3F5D"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WSJ's Liz Rappaport visits Mean Street to look at Goldman Sachs and Morgan Stanley considering the idea of reducing mark-to-market accounting practices in order to shift their profile to more of a traditional bank. Photo: AP Photo/Mark Lennihan</w:t>
      </w:r>
    </w:p>
    <w:p w14:paraId="5F6DD409"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The two firms are discussing whether to reduce their use of mark-to-market accounting, in which companies immediately take profits or losses as asset values fluctuate, according to people familiar with the situation. Such swings routinely affect the bottom line at Goldman and Morgan Stanley, including in the third quarter.</w:t>
      </w:r>
    </w:p>
    <w:p w14:paraId="136C43D9" w14:textId="77777777" w:rsidR="00D62E30" w:rsidRDefault="00D62E30" w:rsidP="00D62E30">
      <w:pPr>
        <w:rPr>
          <w:rFonts w:ascii="Arial" w:hAnsi="Arial" w:cs="Arial"/>
          <w:color w:val="000000"/>
          <w:sz w:val="15"/>
          <w:szCs w:val="15"/>
          <w:lang w:val="en"/>
        </w:rPr>
      </w:pPr>
      <w:r>
        <w:rPr>
          <w:rFonts w:ascii="Arial" w:hAnsi="Arial" w:cs="Arial"/>
          <w:noProof/>
          <w:color w:val="000000"/>
          <w:sz w:val="15"/>
          <w:szCs w:val="15"/>
        </w:rPr>
        <w:drawing>
          <wp:inline distT="0" distB="0" distL="0" distR="0" wp14:anchorId="501049C3" wp14:editId="1BEA97AE">
            <wp:extent cx="3640455" cy="3148330"/>
            <wp:effectExtent l="0" t="0" r="0" b="0"/>
            <wp:docPr id="2" name="Picture 2" desc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RK]"/>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40455" cy="3148330"/>
                    </a:xfrm>
                    <a:prstGeom prst="rect">
                      <a:avLst/>
                    </a:prstGeom>
                    <a:noFill/>
                    <a:ln>
                      <a:noFill/>
                    </a:ln>
                  </pic:spPr>
                </pic:pic>
              </a:graphicData>
            </a:graphic>
          </wp:inline>
        </w:drawing>
      </w:r>
    </w:p>
    <w:p w14:paraId="3B73A8DC"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If executives go through with the change, the two companies would increase their use of so-called historical-cost accounting, where assets generally are held at their original value or purchase price, these people said.</w:t>
      </w:r>
    </w:p>
    <w:p w14:paraId="5F21CF45" w14:textId="77777777" w:rsidR="00D62E30" w:rsidRDefault="00AF772F" w:rsidP="00D62E30">
      <w:pPr>
        <w:rPr>
          <w:rFonts w:ascii="Arial" w:hAnsi="Arial" w:cs="Arial"/>
          <w:color w:val="000000"/>
          <w:sz w:val="15"/>
          <w:szCs w:val="15"/>
          <w:lang w:val="en"/>
        </w:rPr>
      </w:pPr>
      <w:hyperlink r:id="rId43" w:history="1">
        <w:r w:rsidR="00D62E30">
          <w:rPr>
            <w:rFonts w:ascii="Arial" w:hAnsi="Arial" w:cs="Arial"/>
            <w:color w:val="093D72"/>
            <w:sz w:val="15"/>
            <w:szCs w:val="15"/>
            <w:lang w:val="en"/>
          </w:rPr>
          <w:t>Experience WSJ professional</w:t>
        </w:r>
      </w:hyperlink>
      <w:r w:rsidR="00D62E30">
        <w:rPr>
          <w:rFonts w:ascii="Arial" w:hAnsi="Arial" w:cs="Arial"/>
          <w:color w:val="000000"/>
          <w:sz w:val="15"/>
          <w:szCs w:val="15"/>
          <w:lang w:val="en"/>
        </w:rPr>
        <w:t xml:space="preserve"> </w:t>
      </w:r>
    </w:p>
    <w:p w14:paraId="2F19719E" w14:textId="77777777" w:rsidR="00D62E30" w:rsidRDefault="00AF772F" w:rsidP="00D62E30">
      <w:pPr>
        <w:spacing w:before="100" w:beforeAutospacing="1" w:after="100" w:afterAutospacing="1"/>
        <w:outlineLvl w:val="4"/>
        <w:rPr>
          <w:rFonts w:ascii="Arial" w:hAnsi="Arial" w:cs="Arial"/>
          <w:color w:val="000000"/>
          <w:sz w:val="15"/>
          <w:szCs w:val="15"/>
          <w:lang w:val="en"/>
        </w:rPr>
      </w:pPr>
      <w:hyperlink r:id="rId44" w:history="1">
        <w:r w:rsidR="00D62E30">
          <w:rPr>
            <w:rFonts w:ascii="Arial" w:hAnsi="Arial" w:cs="Arial"/>
            <w:color w:val="093D72"/>
            <w:sz w:val="15"/>
            <w:szCs w:val="15"/>
            <w:lang w:val="en"/>
          </w:rPr>
          <w:t>Editors' Deep Dive: Goldman Sachs Watch</w:t>
        </w:r>
      </w:hyperlink>
    </w:p>
    <w:p w14:paraId="7E289548"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A decision by Goldman and Morgan Stanley officials isn't imminent, and there are wide differences of opinion among executives, people familiar with the matter said. Regulatory approval isn't required for such a move.</w:t>
      </w:r>
    </w:p>
    <w:p w14:paraId="75F3F805"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 xml:space="preserve">Still, the fact that both companies are considering a tiptoe away from mark-to-market accounting shows how much has changed since the financial crisis. Banks such as </w:t>
      </w:r>
      <w:hyperlink r:id="rId45" w:history="1">
        <w:r>
          <w:rPr>
            <w:rFonts w:ascii="Arial" w:hAnsi="Arial" w:cs="Arial"/>
            <w:color w:val="093D72"/>
            <w:sz w:val="15"/>
            <w:szCs w:val="15"/>
            <w:lang w:val="en"/>
          </w:rPr>
          <w:t>J.P. Morgan Chase &amp; Co</w:t>
        </w:r>
      </w:hyperlink>
      <w:r>
        <w:rPr>
          <w:rFonts w:ascii="Arial" w:hAnsi="Arial" w:cs="Arial"/>
          <w:color w:val="000000"/>
          <w:sz w:val="15"/>
          <w:szCs w:val="15"/>
          <w:lang w:val="en"/>
        </w:rPr>
        <w:t xml:space="preserve"> </w:t>
      </w:r>
      <w:hyperlink r:id="rId46" w:history="1">
        <w:r>
          <w:rPr>
            <w:rFonts w:ascii="Arial" w:hAnsi="Arial" w:cs="Arial"/>
            <w:color w:val="093D72"/>
            <w:sz w:val="13"/>
            <w:szCs w:val="13"/>
            <w:lang w:val="en"/>
          </w:rPr>
          <w:t>JPM +0.34%</w:t>
        </w:r>
      </w:hyperlink>
      <w:r>
        <w:rPr>
          <w:rFonts w:ascii="Arial" w:hAnsi="Arial" w:cs="Arial"/>
          <w:color w:val="000000"/>
          <w:sz w:val="15"/>
          <w:szCs w:val="15"/>
          <w:lang w:val="en"/>
        </w:rPr>
        <w:t xml:space="preserve">. and </w:t>
      </w:r>
      <w:hyperlink r:id="rId47" w:history="1">
        <w:r>
          <w:rPr>
            <w:rFonts w:ascii="Arial" w:hAnsi="Arial" w:cs="Arial"/>
            <w:color w:val="093D72"/>
            <w:sz w:val="15"/>
            <w:szCs w:val="15"/>
            <w:lang w:val="en"/>
          </w:rPr>
          <w:t>Wells Fargo &amp; Co</w:t>
        </w:r>
      </w:hyperlink>
      <w:r>
        <w:rPr>
          <w:rFonts w:ascii="Arial" w:hAnsi="Arial" w:cs="Arial"/>
          <w:color w:val="000000"/>
          <w:sz w:val="15"/>
          <w:szCs w:val="15"/>
          <w:lang w:val="en"/>
        </w:rPr>
        <w:t xml:space="preserve"> </w:t>
      </w:r>
      <w:hyperlink r:id="rId48" w:history="1">
        <w:r>
          <w:rPr>
            <w:rFonts w:ascii="Arial" w:hAnsi="Arial" w:cs="Arial"/>
            <w:color w:val="093D72"/>
            <w:sz w:val="13"/>
            <w:szCs w:val="13"/>
            <w:lang w:val="en"/>
          </w:rPr>
          <w:t>WFC +0.25%</w:t>
        </w:r>
      </w:hyperlink>
      <w:r>
        <w:rPr>
          <w:rFonts w:ascii="Arial" w:hAnsi="Arial" w:cs="Arial"/>
          <w:color w:val="000000"/>
          <w:sz w:val="15"/>
          <w:szCs w:val="15"/>
          <w:lang w:val="en"/>
        </w:rPr>
        <w:t>. typically value more than half their assets using the historical-cost method, leaving them far less vulnerable to swings in asset values. In comparison, Goldman values about 97% of its assets using mark-to-market accounting.</w:t>
      </w:r>
    </w:p>
    <w:p w14:paraId="2B7EC43D"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 xml:space="preserve">Goldman Chairman and Chief Executive </w:t>
      </w:r>
      <w:hyperlink r:id="rId49" w:history="1">
        <w:r>
          <w:rPr>
            <w:rFonts w:ascii="Arial" w:hAnsi="Arial" w:cs="Arial"/>
            <w:color w:val="093D72"/>
            <w:sz w:val="15"/>
            <w:szCs w:val="15"/>
            <w:lang w:val="en"/>
          </w:rPr>
          <w:t>Lloyd C. Blankfein</w:t>
        </w:r>
      </w:hyperlink>
      <w:r>
        <w:rPr>
          <w:rFonts w:ascii="Arial" w:hAnsi="Arial" w:cs="Arial"/>
          <w:color w:val="000000"/>
          <w:sz w:val="15"/>
          <w:szCs w:val="15"/>
          <w:lang w:val="en"/>
        </w:rPr>
        <w:t xml:space="preserve"> has been a staunch defender of mark-to-market accounting, contending that wider use of the method might have stemmed the worst of the crisis by forcing financial firms to reckon with declining values of mortgages, loans and other assets on their balance sheets.</w:t>
      </w:r>
    </w:p>
    <w:p w14:paraId="393B2BB5"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"If more institutions had been required to recognize their exposures promptly and value them appropriately, they would have been likely to curtail the worst risks," Mr. Blankfein told the Financial Crisis Inquiry Commission in testimony last year. Mark-to-market accounting is better for investors, he said, because they are "better served with information that more closely reflects the judgment of the market."</w:t>
      </w:r>
    </w:p>
    <w:p w14:paraId="2E088689"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 xml:space="preserve">During the financial crisis, many banks avoided taking losses on loans and other assets until they were forced to sell them. By then, though, some assets were nearly worthless. </w:t>
      </w:r>
    </w:p>
    <w:p w14:paraId="181E1010"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Goldman and Morgan Stanley executives have grown increasingly frustrated that their dependence on mark-to-market accounting puts them at a competitive disadvantage. The problem is even more acute now that the securities firms' once-highflying trading businesses are being dragged down to earth by volatile financial markets and tighter regulations.</w:t>
      </w:r>
    </w:p>
    <w:p w14:paraId="545AE491"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Goldman and Morgan Stanley became bank-holding companies in 2008, giving them access to emergency funds from the Federal Reserve's discount window. In return, banking regulators now walk the halls of their offices and burrow into their books. Goldman and Morgan Stanley also must obtain approval for stock buybacks and dividends to shareholders.</w:t>
      </w:r>
    </w:p>
    <w:p w14:paraId="3DFF75B4"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Since the financial crisis, Goldman and Morgan Stanley have put more emphasis on slower-growth but steadier businesses such as wealth management and investment banking.</w:t>
      </w:r>
    </w:p>
    <w:p w14:paraId="0C534ADE"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Morgan Stanley has openly embraced its banking operations, making more loans and bulking up on deposits, though executives have little or no interest in brick-and-mortar branches or most consumer-banking businesses.</w:t>
      </w:r>
    </w:p>
    <w:p w14:paraId="726BDD45"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Goldman and Morgan Stanley had the option before the crisis to move away from mark-to-market accounting for certain loans but didn't, partly because other revenues offset the impact of any markdowns.</w:t>
      </w:r>
    </w:p>
    <w:p w14:paraId="2F1489DE"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At least for now, any shift away from mark-to-market accounting would affect just a slice of the $1.7 trillion in combined assets at Goldman and Morgan Stanley. Mark-to-market accounting is bruising for both firms on loan commitments to large companies, requiring Goldman and Morgan Stanley to take losses even before a company borrows any money.</w:t>
      </w:r>
    </w:p>
    <w:p w14:paraId="41F9CF68"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A change could affect a portion of Goldman's $20.05 billion in investment-grade loan commitments as of Sept. 30, as well as some of the $55.1 billion in commitments by Morgan Stanley.</w:t>
      </w:r>
    </w:p>
    <w:p w14:paraId="2796A6BE"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The potential accounting move at Goldman would include loan commitments where the borrower is deemed investment-grade but hasn't tapped the credit, said a person familiar with the matter. Morgan Stanley likely would decide on a case-by-case basis as it sorts through similar loan commitments, another person said.</w:t>
      </w:r>
    </w:p>
    <w:p w14:paraId="59879852"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Loan commitments often are made to companies that are clients of the two securities firms to acquire or merge with other companies. The value of such loans can swing by as much as 10%.</w:t>
      </w:r>
    </w:p>
    <w:p w14:paraId="41EB5EB3"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In the third quarter, Goldman had a loss of nearly $1 billion on its fixed-income holdings, a large portion of which were loans. That pool includes investment-grade and noninvestment grade loans. The overall impact of mark-to-market accounting on the bottom line because of loan commitments wasn't material at either firm in the latest quarter, according to people familiar with the situation.</w:t>
      </w:r>
    </w:p>
    <w:p w14:paraId="7D9CDBDB"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The exact amount of loans on which Goldman and Morgan Stanley might back away from mark-to-market accounting isn't clear. If the change goes through, it could affect financial results as soon as the current quarter or the first quarter of 2012, said people familiar with the matter.</w:t>
      </w:r>
    </w:p>
    <w:p w14:paraId="05AB50CE"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 xml:space="preserve">Deposits at Morgan Stanley, which ranked 12th-largest in the U.S. at the end of 2010, are likely to climb further as the securities firm takes a larger stake in its brokerage joint venture with </w:t>
      </w:r>
      <w:hyperlink r:id="rId50" w:history="1">
        <w:r>
          <w:rPr>
            <w:rFonts w:ascii="Arial" w:hAnsi="Arial" w:cs="Arial"/>
            <w:color w:val="093D72"/>
            <w:sz w:val="15"/>
            <w:szCs w:val="15"/>
            <w:lang w:val="en"/>
          </w:rPr>
          <w:t>Citigroup</w:t>
        </w:r>
      </w:hyperlink>
      <w:r>
        <w:rPr>
          <w:rFonts w:ascii="Arial" w:hAnsi="Arial" w:cs="Arial"/>
          <w:color w:val="000000"/>
          <w:sz w:val="15"/>
          <w:szCs w:val="15"/>
          <w:lang w:val="en"/>
        </w:rPr>
        <w:t xml:space="preserve"> Inc. </w:t>
      </w:r>
      <w:hyperlink r:id="rId51" w:history="1">
        <w:r>
          <w:rPr>
            <w:rFonts w:ascii="Arial" w:hAnsi="Arial" w:cs="Arial"/>
            <w:color w:val="093D72"/>
            <w:sz w:val="13"/>
            <w:szCs w:val="13"/>
            <w:lang w:val="en"/>
          </w:rPr>
          <w:t>C +0.27%</w:t>
        </w:r>
      </w:hyperlink>
    </w:p>
    <w:p w14:paraId="1847A636"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 xml:space="preserve">Morgan Stanley also has been making more long-term loans in conjunction with Japanese bank </w:t>
      </w:r>
      <w:hyperlink r:id="rId52" w:history="1">
        <w:r>
          <w:rPr>
            <w:rFonts w:ascii="Arial" w:hAnsi="Arial" w:cs="Arial"/>
            <w:color w:val="093D72"/>
            <w:sz w:val="15"/>
            <w:szCs w:val="15"/>
            <w:lang w:val="en"/>
          </w:rPr>
          <w:t>Mitsubishi UFJ Financial Group</w:t>
        </w:r>
      </w:hyperlink>
      <w:r>
        <w:rPr>
          <w:rFonts w:ascii="Arial" w:hAnsi="Arial" w:cs="Arial"/>
          <w:color w:val="000000"/>
          <w:sz w:val="15"/>
          <w:szCs w:val="15"/>
          <w:lang w:val="en"/>
        </w:rPr>
        <w:t xml:space="preserve"> Inc. </w:t>
      </w:r>
      <w:hyperlink r:id="rId53" w:history="1">
        <w:r>
          <w:rPr>
            <w:rFonts w:ascii="Arial" w:hAnsi="Arial" w:cs="Arial"/>
            <w:color w:val="093D72"/>
            <w:sz w:val="13"/>
            <w:szCs w:val="13"/>
            <w:lang w:val="en"/>
          </w:rPr>
          <w:t>MTU -1.74%</w:t>
        </w:r>
      </w:hyperlink>
      <w:r>
        <w:rPr>
          <w:rFonts w:ascii="Arial" w:hAnsi="Arial" w:cs="Arial"/>
          <w:color w:val="000000"/>
          <w:sz w:val="15"/>
          <w:szCs w:val="15"/>
          <w:lang w:val="en"/>
        </w:rPr>
        <w:t>The two companies have done more than 150 deals together, with $35 billion in committed loans.</w:t>
      </w:r>
    </w:p>
    <w:p w14:paraId="0FC02203"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Those loans are valued using the historical-cost method. Morgan Stanley officials believe that accounting treatment is appropriate because the firms intend to hold most of these loans until they are repaid, according to people familiar with the matter.</w:t>
      </w:r>
    </w:p>
    <w:p w14:paraId="58E59000" w14:textId="77777777" w:rsidR="00D62E30" w:rsidRDefault="00D62E30" w:rsidP="00D62E30">
      <w:pPr>
        <w:spacing w:before="100" w:beforeAutospacing="1" w:after="100" w:afterAutospacing="1"/>
        <w:rPr>
          <w:rFonts w:ascii="Arial" w:hAnsi="Arial" w:cs="Arial"/>
          <w:color w:val="000000"/>
          <w:sz w:val="15"/>
          <w:szCs w:val="15"/>
          <w:lang w:val="en"/>
        </w:rPr>
      </w:pPr>
      <w:r>
        <w:rPr>
          <w:rFonts w:ascii="Arial" w:hAnsi="Arial" w:cs="Arial"/>
          <w:color w:val="000000"/>
          <w:sz w:val="15"/>
          <w:szCs w:val="15"/>
          <w:lang w:val="en"/>
        </w:rPr>
        <w:t xml:space="preserve">Write to Liz Rappaport at </w:t>
      </w:r>
      <w:hyperlink r:id="rId54" w:history="1">
        <w:r>
          <w:rPr>
            <w:rFonts w:ascii="Arial" w:hAnsi="Arial" w:cs="Arial"/>
            <w:color w:val="093D72"/>
            <w:sz w:val="15"/>
            <w:szCs w:val="15"/>
            <w:lang w:val="en"/>
          </w:rPr>
          <w:t>liz.rappaport@wsj.com</w:t>
        </w:r>
      </w:hyperlink>
      <w:r>
        <w:rPr>
          <w:rFonts w:ascii="Arial" w:hAnsi="Arial" w:cs="Arial"/>
          <w:color w:val="000000"/>
          <w:sz w:val="15"/>
          <w:szCs w:val="15"/>
          <w:lang w:val="en"/>
        </w:rPr>
        <w:t xml:space="preserve"> </w:t>
      </w:r>
    </w:p>
    <w:p w14:paraId="79D231B4" w14:textId="77777777" w:rsidR="00D62E30" w:rsidRDefault="00D62E30" w:rsidP="00D62E30">
      <w:pPr>
        <w:numPr>
          <w:ilvl w:val="0"/>
          <w:numId w:val="4"/>
        </w:numPr>
        <w:spacing w:before="100" w:beforeAutospacing="1" w:after="100" w:afterAutospacing="1"/>
        <w:rPr>
          <w:rFonts w:ascii="Arial" w:hAnsi="Arial" w:cs="Arial"/>
          <w:color w:val="000000"/>
          <w:sz w:val="15"/>
          <w:szCs w:val="15"/>
        </w:rPr>
      </w:pPr>
      <w:r>
        <w:rPr>
          <w:rFonts w:ascii="Arial" w:hAnsi="Arial" w:cs="Arial"/>
          <w:color w:val="666666"/>
          <w:sz w:val="14"/>
          <w:szCs w:val="14"/>
        </w:rPr>
        <w:t>May 22, 2013, 7:41 PM ET</w:t>
      </w:r>
    </w:p>
    <w:p w14:paraId="0FC9C134" w14:textId="77777777" w:rsidR="00D62E30" w:rsidRDefault="00D62E30" w:rsidP="00D62E30">
      <w:pPr>
        <w:pStyle w:val="Heading1"/>
        <w:rPr>
          <w:rFonts w:ascii="Arial" w:hAnsi="Arial" w:cs="Arial"/>
          <w:color w:val="000000"/>
          <w:sz w:val="15"/>
          <w:szCs w:val="15"/>
        </w:rPr>
      </w:pPr>
      <w:r>
        <w:rPr>
          <w:rFonts w:ascii="Arial" w:hAnsi="Arial" w:cs="Arial"/>
          <w:color w:val="000000"/>
          <w:sz w:val="15"/>
          <w:szCs w:val="15"/>
        </w:rPr>
        <w:t>U.S. Accounting Overseers to Review Fair Value Rules</w:t>
      </w:r>
    </w:p>
    <w:tbl>
      <w:tblPr>
        <w:tblpPr w:leftFromText="45" w:rightFromText="45" w:vertAnchor="text"/>
        <w:tblW w:w="1320" w:type="dxa"/>
        <w:tblCellMar>
          <w:left w:w="0" w:type="dxa"/>
          <w:right w:w="0" w:type="dxa"/>
        </w:tblCellMar>
        <w:tblLook w:val="04A0" w:firstRow="1" w:lastRow="0" w:firstColumn="1" w:lastColumn="0" w:noHBand="0" w:noVBand="1"/>
      </w:tblPr>
      <w:tblGrid>
        <w:gridCol w:w="1320"/>
      </w:tblGrid>
      <w:tr w:rsidR="00D62E30" w14:paraId="527CC9F6" w14:textId="77777777" w:rsidTr="007D7C8B">
        <w:tc>
          <w:tcPr>
            <w:tcW w:w="0" w:type="auto"/>
            <w:vAlign w:val="center"/>
            <w:hideMark/>
          </w:tcPr>
          <w:p w14:paraId="4A059047" w14:textId="77777777" w:rsidR="00D62E30" w:rsidRDefault="00D62E30" w:rsidP="007D7C8B">
            <w:pPr>
              <w:jc w:val="center"/>
              <w:rPr>
                <w:rFonts w:ascii="Arial" w:hAnsi="Arial" w:cs="Arial"/>
                <w:color w:val="000000"/>
                <w:sz w:val="15"/>
                <w:szCs w:val="15"/>
              </w:rPr>
            </w:pPr>
            <w:r>
              <w:rPr>
                <w:rFonts w:ascii="Arial" w:hAnsi="Arial" w:cs="Arial"/>
                <w:noProof/>
                <w:color w:val="000000"/>
                <w:sz w:val="15"/>
                <w:szCs w:val="15"/>
              </w:rPr>
              <w:drawing>
                <wp:inline distT="0" distB="0" distL="0" distR="0" wp14:anchorId="11C9BFE3" wp14:editId="03D31A7F">
                  <wp:extent cx="457200" cy="767715"/>
                  <wp:effectExtent l="0" t="0" r="0" b="0"/>
                  <wp:docPr id="1" name="Picture 1" descr="[Emily Cha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ily Chasa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7200" cy="767715"/>
                          </a:xfrm>
                          <a:prstGeom prst="rect">
                            <a:avLst/>
                          </a:prstGeom>
                          <a:noFill/>
                          <a:ln>
                            <a:noFill/>
                          </a:ln>
                        </pic:spPr>
                      </pic:pic>
                    </a:graphicData>
                  </a:graphic>
                </wp:inline>
              </w:drawing>
            </w:r>
          </w:p>
        </w:tc>
      </w:tr>
    </w:tbl>
    <w:p w14:paraId="185CB7DD" w14:textId="77777777" w:rsidR="00D62E30" w:rsidRDefault="00D62E30" w:rsidP="00D62E30">
      <w:pPr>
        <w:pStyle w:val="Heading3"/>
        <w:numPr>
          <w:ilvl w:val="0"/>
          <w:numId w:val="5"/>
        </w:numPr>
        <w:spacing w:before="100" w:beforeAutospacing="1" w:line="480" w:lineRule="auto"/>
        <w:ind w:firstLine="0"/>
        <w:rPr>
          <w:rFonts w:ascii="Helvetica" w:hAnsi="Helvetica" w:cs="Helvetica"/>
          <w:color w:val="666666"/>
          <w:sz w:val="22"/>
          <w:szCs w:val="22"/>
        </w:rPr>
      </w:pPr>
      <w:r>
        <w:rPr>
          <w:rFonts w:ascii="Helvetica" w:hAnsi="Helvetica" w:cs="Helvetica"/>
          <w:color w:val="666666"/>
          <w:sz w:val="22"/>
          <w:szCs w:val="22"/>
        </w:rPr>
        <w:t>By Emily Chasan</w:t>
      </w:r>
    </w:p>
    <w:p w14:paraId="3806566D" w14:textId="77777777" w:rsidR="00D62E30" w:rsidRDefault="00D62E30" w:rsidP="00D62E30">
      <w:pPr>
        <w:pStyle w:val="Heading3"/>
        <w:ind w:left="1440" w:hanging="360"/>
        <w:rPr>
          <w:rFonts w:ascii="Arial" w:hAnsi="Arial" w:cs="Arial"/>
          <w:color w:val="666666"/>
          <w:sz w:val="18"/>
          <w:szCs w:val="18"/>
        </w:rPr>
      </w:pPr>
      <w:r>
        <w:rPr>
          <w:rFonts w:ascii="Arial" w:hAnsi="Arial" w:cs="Arial"/>
          <w:color w:val="666666"/>
          <w:sz w:val="18"/>
          <w:szCs w:val="18"/>
        </w:rPr>
        <w:t>Senior Editor</w:t>
      </w:r>
    </w:p>
    <w:p w14:paraId="662E75D4" w14:textId="77777777" w:rsidR="00D62E30" w:rsidRDefault="00D62E30" w:rsidP="00D62E30">
      <w:pPr>
        <w:pStyle w:val="NormalWeb"/>
        <w:rPr>
          <w:rFonts w:ascii="Arial" w:hAnsi="Arial" w:cs="Arial"/>
          <w:color w:val="000000"/>
          <w:sz w:val="15"/>
          <w:szCs w:val="15"/>
        </w:rPr>
      </w:pPr>
      <w:r>
        <w:rPr>
          <w:rFonts w:ascii="Arial" w:hAnsi="Arial" w:cs="Arial"/>
          <w:color w:val="000000"/>
          <w:sz w:val="15"/>
          <w:szCs w:val="15"/>
        </w:rPr>
        <w:t>The trustees that oversee U.S. accounting rulemakers are set to look at how controversial fair value accounting standards that prescribe how companies mark assets and liabilities to market values are performing.</w:t>
      </w:r>
    </w:p>
    <w:p w14:paraId="1F6B24E1" w14:textId="77777777" w:rsidR="00D62E30" w:rsidRDefault="00D62E30" w:rsidP="00D62E30">
      <w:pPr>
        <w:pStyle w:val="NormalWeb"/>
        <w:rPr>
          <w:rFonts w:ascii="Arial" w:hAnsi="Arial" w:cs="Arial"/>
          <w:color w:val="000000"/>
          <w:sz w:val="15"/>
          <w:szCs w:val="15"/>
        </w:rPr>
      </w:pPr>
      <w:r>
        <w:rPr>
          <w:rFonts w:ascii="Arial" w:hAnsi="Arial" w:cs="Arial"/>
          <w:color w:val="000000"/>
          <w:sz w:val="15"/>
          <w:szCs w:val="15"/>
        </w:rPr>
        <w:t xml:space="preserve">The Financial Accounting Foundation, which oversees the Financial Accounting Standards Board, said on Wednesday it will </w:t>
      </w:r>
      <w:hyperlink r:id="rId56" w:tgtFrame="_blank" w:history="1">
        <w:r>
          <w:rPr>
            <w:rStyle w:val="Hyperlink"/>
            <w:rFonts w:ascii="Arial" w:hAnsi="Arial" w:cs="Arial"/>
            <w:sz w:val="15"/>
            <w:szCs w:val="15"/>
          </w:rPr>
          <w:t>undertake</w:t>
        </w:r>
      </w:hyperlink>
      <w:r>
        <w:rPr>
          <w:rFonts w:ascii="Arial" w:hAnsi="Arial" w:cs="Arial"/>
          <w:color w:val="000000"/>
          <w:sz w:val="15"/>
          <w:szCs w:val="15"/>
        </w:rPr>
        <w:t xml:space="preserve"> a post-implementation review of the main fair value accounting rule, known as FAS 157. The rule establishes the framework for how companies measure fair value of their assets and disclose details about their measurements.</w:t>
      </w:r>
    </w:p>
    <w:p w14:paraId="6C727D90" w14:textId="77777777" w:rsidR="00D62E30" w:rsidRDefault="00D62E30" w:rsidP="00D62E30">
      <w:pPr>
        <w:pStyle w:val="NormalWeb"/>
        <w:rPr>
          <w:rFonts w:ascii="Arial" w:hAnsi="Arial" w:cs="Arial"/>
          <w:color w:val="000000"/>
          <w:sz w:val="15"/>
          <w:szCs w:val="15"/>
        </w:rPr>
      </w:pPr>
      <w:r>
        <w:rPr>
          <w:rFonts w:ascii="Arial" w:hAnsi="Arial" w:cs="Arial"/>
          <w:color w:val="000000"/>
          <w:sz w:val="15"/>
          <w:szCs w:val="15"/>
        </w:rPr>
        <w:t>Investors have long sought more information about the present value of corporate assets, but new accounting rules requiring companies to use more fair value accounting came under attack during the financial crisis. The FASB had issued the new mark-to-market rules in 2006 and they took effect in 2007. But the effect of the rules, which required banks to put market values on their assets, was amplified in illiquid markets, and critics say led banks into a downward spiral of write-downs that compromised their financial health.</w:t>
      </w:r>
    </w:p>
    <w:p w14:paraId="7F47F57E" w14:textId="77777777" w:rsidR="00D62E30" w:rsidRDefault="00D62E30" w:rsidP="00D62E30">
      <w:pPr>
        <w:pStyle w:val="NormalWeb"/>
        <w:rPr>
          <w:rFonts w:ascii="Arial" w:hAnsi="Arial" w:cs="Arial"/>
          <w:color w:val="000000"/>
          <w:sz w:val="15"/>
          <w:szCs w:val="15"/>
        </w:rPr>
      </w:pPr>
      <w:r>
        <w:rPr>
          <w:rFonts w:ascii="Arial" w:hAnsi="Arial" w:cs="Arial"/>
          <w:color w:val="000000"/>
          <w:sz w:val="15"/>
          <w:szCs w:val="15"/>
        </w:rPr>
        <w:t xml:space="preserve">At the height of the financial crisis a </w:t>
      </w:r>
      <w:hyperlink r:id="rId57" w:tgtFrame="_blank" w:history="1">
        <w:r>
          <w:rPr>
            <w:rStyle w:val="Hyperlink"/>
            <w:rFonts w:ascii="Arial" w:hAnsi="Arial" w:cs="Arial"/>
            <w:sz w:val="15"/>
            <w:szCs w:val="15"/>
          </w:rPr>
          <w:t>proposal</w:t>
        </w:r>
      </w:hyperlink>
      <w:r>
        <w:rPr>
          <w:rFonts w:ascii="Arial" w:hAnsi="Arial" w:cs="Arial"/>
          <w:color w:val="000000"/>
          <w:sz w:val="15"/>
          <w:szCs w:val="15"/>
        </w:rPr>
        <w:t xml:space="preserve"> was floated to suspend mark-to-market accounting, but accounting rulemakers decided to </w:t>
      </w:r>
      <w:hyperlink r:id="rId58" w:tgtFrame="_blank" w:history="1">
        <w:r>
          <w:rPr>
            <w:rStyle w:val="Hyperlink"/>
            <w:rFonts w:ascii="Arial" w:hAnsi="Arial" w:cs="Arial"/>
            <w:sz w:val="15"/>
            <w:szCs w:val="15"/>
          </w:rPr>
          <w:t>ease</w:t>
        </w:r>
      </w:hyperlink>
      <w:r>
        <w:rPr>
          <w:rFonts w:ascii="Arial" w:hAnsi="Arial" w:cs="Arial"/>
          <w:color w:val="000000"/>
          <w:sz w:val="15"/>
          <w:szCs w:val="15"/>
        </w:rPr>
        <w:t xml:space="preserve"> the rules in 2009 to make it easier for banks to limit their losses.The new guidance on applying the rules specified that companies do not have to totally depend on fire-sale market prices to come up with values for their assets.</w:t>
      </w:r>
    </w:p>
    <w:p w14:paraId="06A1F077" w14:textId="77777777" w:rsidR="00D62E30" w:rsidRDefault="00D62E30" w:rsidP="00D62E30">
      <w:pPr>
        <w:pStyle w:val="NormalWeb"/>
        <w:rPr>
          <w:rFonts w:ascii="Arial" w:hAnsi="Arial" w:cs="Arial"/>
          <w:color w:val="000000"/>
          <w:sz w:val="15"/>
          <w:szCs w:val="15"/>
        </w:rPr>
      </w:pPr>
      <w:r>
        <w:rPr>
          <w:rFonts w:ascii="Arial" w:hAnsi="Arial" w:cs="Arial"/>
          <w:color w:val="FF0000"/>
          <w:sz w:val="15"/>
          <w:szCs w:val="15"/>
        </w:rPr>
        <w:t>V</w:t>
      </w:r>
      <w:r>
        <w:rPr>
          <w:rFonts w:ascii="Arial" w:hAnsi="Arial" w:cs="Arial"/>
          <w:color w:val="000000"/>
          <w:sz w:val="15"/>
          <w:szCs w:val="15"/>
        </w:rPr>
        <w:t xml:space="preserve">aluation issues are among the </w:t>
      </w:r>
      <w:hyperlink r:id="rId59" w:tgtFrame="_blank" w:history="1">
        <w:r>
          <w:rPr>
            <w:rStyle w:val="Hyperlink"/>
            <w:rFonts w:ascii="Arial" w:hAnsi="Arial" w:cs="Arial"/>
            <w:sz w:val="15"/>
            <w:szCs w:val="15"/>
          </w:rPr>
          <w:t>most-cited</w:t>
        </w:r>
      </w:hyperlink>
      <w:r>
        <w:rPr>
          <w:rFonts w:ascii="Arial" w:hAnsi="Arial" w:cs="Arial"/>
          <w:color w:val="000000"/>
          <w:sz w:val="15"/>
          <w:szCs w:val="15"/>
        </w:rPr>
        <w:t xml:space="preserve"> in audit deficiency reports from the Public Company Accounting Oversight Board</w:t>
      </w:r>
      <w:r>
        <w:rPr>
          <w:rFonts w:ascii="Arial" w:hAnsi="Arial" w:cs="Arial"/>
          <w:color w:val="FF0000"/>
          <w:sz w:val="15"/>
          <w:szCs w:val="15"/>
        </w:rPr>
        <w:t>,</w:t>
      </w:r>
      <w:r>
        <w:rPr>
          <w:rFonts w:ascii="Arial" w:hAnsi="Arial" w:cs="Arial"/>
          <w:color w:val="000000"/>
          <w:sz w:val="15"/>
          <w:szCs w:val="15"/>
        </w:rPr>
        <w:t xml:space="preserve"> and improper valuation practices were cited in </w:t>
      </w:r>
      <w:hyperlink r:id="rId60" w:history="1">
        <w:r>
          <w:rPr>
            <w:rStyle w:val="Hyperlink"/>
            <w:rFonts w:ascii="Arial" w:hAnsi="Arial" w:cs="Arial"/>
            <w:sz w:val="15"/>
            <w:szCs w:val="15"/>
          </w:rPr>
          <w:t>J.P. Morgan Chase</w:t>
        </w:r>
      </w:hyperlink>
      <w:r>
        <w:rPr>
          <w:rFonts w:ascii="Arial" w:hAnsi="Arial" w:cs="Arial"/>
          <w:color w:val="000000"/>
          <w:sz w:val="15"/>
          <w:szCs w:val="15"/>
        </w:rPr>
        <w:t xml:space="preserve"> &amp; Co’s “London Whale” trading problems </w:t>
      </w:r>
      <w:hyperlink r:id="rId61" w:tgtFrame="_blank" w:history="1">
        <w:r>
          <w:rPr>
            <w:rStyle w:val="Hyperlink"/>
            <w:rFonts w:ascii="Arial" w:hAnsi="Arial" w:cs="Arial"/>
            <w:sz w:val="15"/>
            <w:szCs w:val="15"/>
          </w:rPr>
          <w:t>earlier this year</w:t>
        </w:r>
      </w:hyperlink>
      <w:r>
        <w:rPr>
          <w:rFonts w:ascii="Arial" w:hAnsi="Arial" w:cs="Arial"/>
          <w:color w:val="000000"/>
          <w:sz w:val="15"/>
          <w:szCs w:val="15"/>
        </w:rPr>
        <w:t xml:space="preserve">. The Securities and Exchange Commission also told companies to do </w:t>
      </w:r>
      <w:hyperlink r:id="rId62" w:tgtFrame="_blank" w:history="1">
        <w:r>
          <w:rPr>
            <w:rStyle w:val="Hyperlink"/>
            <w:rFonts w:ascii="Arial" w:hAnsi="Arial" w:cs="Arial"/>
            <w:sz w:val="15"/>
            <w:szCs w:val="15"/>
          </w:rPr>
          <w:t>more vetting</w:t>
        </w:r>
      </w:hyperlink>
      <w:r>
        <w:rPr>
          <w:rFonts w:ascii="Arial" w:hAnsi="Arial" w:cs="Arial"/>
          <w:color w:val="000000"/>
          <w:sz w:val="15"/>
          <w:szCs w:val="15"/>
        </w:rPr>
        <w:t xml:space="preserve"> of their fair value measurements in 2011.</w:t>
      </w:r>
    </w:p>
    <w:p w14:paraId="0D92CB4B" w14:textId="77777777" w:rsidR="00D62E30" w:rsidRDefault="00D62E30" w:rsidP="00D62E30">
      <w:pPr>
        <w:pStyle w:val="NormalWeb"/>
        <w:rPr>
          <w:rFonts w:ascii="Arial" w:hAnsi="Arial" w:cs="Arial"/>
          <w:color w:val="000000"/>
          <w:sz w:val="15"/>
          <w:szCs w:val="15"/>
        </w:rPr>
      </w:pPr>
      <w:r>
        <w:rPr>
          <w:rFonts w:ascii="Arial" w:hAnsi="Arial" w:cs="Arial"/>
          <w:color w:val="000000"/>
          <w:sz w:val="15"/>
          <w:szCs w:val="15"/>
        </w:rPr>
        <w:t xml:space="preserve">The foundation also released the </w:t>
      </w:r>
      <w:hyperlink r:id="rId63" w:tgtFrame="_blank" w:history="1">
        <w:r>
          <w:rPr>
            <w:rStyle w:val="Hyperlink"/>
            <w:rFonts w:ascii="Arial" w:hAnsi="Arial" w:cs="Arial"/>
            <w:sz w:val="15"/>
            <w:szCs w:val="15"/>
          </w:rPr>
          <w:t>results of its review</w:t>
        </w:r>
      </w:hyperlink>
      <w:r>
        <w:rPr>
          <w:rFonts w:ascii="Arial" w:hAnsi="Arial" w:cs="Arial"/>
          <w:color w:val="000000"/>
          <w:sz w:val="15"/>
          <w:szCs w:val="15"/>
        </w:rPr>
        <w:t xml:space="preserve"> of the FASB’s business combinations standard on Wednesday. The review found that the business combinations accounting standard, which was revised in 2007 and affects the way companies recognize the value of acquired businesses, is helping investors appropriately value business transactions. But it also found that the costs of applying the rule are higher than anticipated, due to the need to hire external valuation experts.</w:t>
      </w:r>
    </w:p>
    <w:p w14:paraId="538DA95A" w14:textId="77777777" w:rsidR="00D62E30" w:rsidRPr="0000177D" w:rsidRDefault="00D62E30" w:rsidP="00D62E30">
      <w:pPr>
        <w:rPr>
          <w:sz w:val="22"/>
          <w:szCs w:val="22"/>
          <w:lang w:val="en"/>
        </w:rPr>
      </w:pPr>
    </w:p>
    <w:p w14:paraId="7CA6C8DE" w14:textId="77777777" w:rsidR="00876A4D" w:rsidRDefault="00876A4D">
      <w:pPr>
        <w:spacing w:after="200" w:line="276" w:lineRule="auto"/>
      </w:pPr>
      <w:r>
        <w:br w:type="page"/>
      </w:r>
    </w:p>
    <w:p w14:paraId="2574F16C" w14:textId="77777777" w:rsidR="00F63959" w:rsidRDefault="00F63959" w:rsidP="00F63959">
      <w:pPr>
        <w:pStyle w:val="Heading1"/>
        <w:spacing w:after="120" w:line="240" w:lineRule="atLeast"/>
        <w:textAlignment w:val="baseline"/>
        <w:rPr>
          <w:rFonts w:ascii="Escrow Condensed" w:hAnsi="Escrow Condensed"/>
          <w:sz w:val="60"/>
          <w:szCs w:val="60"/>
        </w:rPr>
      </w:pPr>
      <w:r>
        <w:rPr>
          <w:rFonts w:ascii="Escrow Condensed" w:hAnsi="Escrow Condensed"/>
          <w:sz w:val="60"/>
          <w:szCs w:val="60"/>
        </w:rPr>
        <w:t>Banks’ Answer to Volatile Italian Debt: Accounting Changes</w:t>
      </w:r>
    </w:p>
    <w:p w14:paraId="125E90FB" w14:textId="77777777" w:rsidR="00F63959" w:rsidRDefault="00F63959" w:rsidP="00F63959">
      <w:pPr>
        <w:pStyle w:val="Heading2"/>
        <w:spacing w:before="0" w:line="405" w:lineRule="atLeast"/>
        <w:textAlignment w:val="baseline"/>
        <w:rPr>
          <w:rFonts w:ascii="Retina" w:hAnsi="Retina"/>
          <w:color w:val="666666"/>
          <w:spacing w:val="-2"/>
          <w:sz w:val="30"/>
          <w:szCs w:val="30"/>
        </w:rPr>
      </w:pPr>
      <w:r>
        <w:rPr>
          <w:rFonts w:ascii="Retina" w:hAnsi="Retina"/>
          <w:b/>
          <w:bCs/>
          <w:color w:val="666666"/>
          <w:spacing w:val="-2"/>
          <w:sz w:val="30"/>
          <w:szCs w:val="30"/>
        </w:rPr>
        <w:t>Italian banks are cutting the proportion of Italian government bonds they have to mark to market</w:t>
      </w:r>
    </w:p>
    <w:p w14:paraId="50ECB15E" w14:textId="77777777" w:rsidR="00F63959" w:rsidRDefault="00F63959" w:rsidP="00F63959">
      <w:pPr>
        <w:textAlignment w:val="baseline"/>
        <w:rPr>
          <w:rFonts w:ascii="Arial" w:hAnsi="Arial" w:cs="Arial"/>
          <w:color w:val="333333"/>
          <w:sz w:val="15"/>
          <w:szCs w:val="15"/>
        </w:rPr>
      </w:pPr>
      <w:r>
        <w:rPr>
          <w:rFonts w:ascii="Arial" w:hAnsi="Arial" w:cs="Arial"/>
          <w:color w:val="333333"/>
          <w:sz w:val="15"/>
          <w:szCs w:val="15"/>
        </w:rPr>
        <w:t>Market ForcesSplit of Italian government bond holdings by accounting treatment at September 30Source: the companies*As at June 30</w:t>
      </w:r>
    </w:p>
    <w:p w14:paraId="235D483B" w14:textId="77777777" w:rsidR="00F63959" w:rsidRDefault="00F63959" w:rsidP="00F63959">
      <w:pPr>
        <w:spacing w:line="240" w:lineRule="atLeast"/>
        <w:textAlignment w:val="baseline"/>
        <w:rPr>
          <w:rFonts w:ascii="Retina" w:hAnsi="Retina" w:cs="Arial"/>
          <w:color w:val="333333"/>
          <w:sz w:val="20"/>
          <w:szCs w:val="20"/>
        </w:rPr>
      </w:pPr>
      <w:r>
        <w:rPr>
          <w:rFonts w:ascii="Retina" w:hAnsi="Retina" w:cs="Arial"/>
          <w:color w:val="333333"/>
          <w:sz w:val="20"/>
          <w:szCs w:val="20"/>
        </w:rPr>
        <w:t>Held to maturityMark to marketBanco BPMIntesa SanpaoloUBI BancaUniCreditMonte dei Paschi di Siena*0%102030405060708090100</w:t>
      </w:r>
    </w:p>
    <w:p w14:paraId="4CA8B42F" w14:textId="77777777" w:rsidR="00F63959" w:rsidRDefault="00F63959" w:rsidP="00F63959">
      <w:pPr>
        <w:textAlignment w:val="baseline"/>
        <w:rPr>
          <w:rFonts w:ascii="Exchange" w:hAnsi="Exchange" w:cs="Arial"/>
          <w:color w:val="333333"/>
          <w:sz w:val="15"/>
          <w:szCs w:val="15"/>
        </w:rPr>
      </w:pPr>
      <w:r>
        <w:rPr>
          <w:rFonts w:ascii="Exchange" w:hAnsi="Exchange" w:cs="Arial"/>
          <w:i/>
          <w:iCs/>
          <w:color w:val="333333"/>
          <w:sz w:val="26"/>
          <w:szCs w:val="26"/>
          <w:bdr w:val="none" w:sz="0" w:space="0" w:color="auto" w:frame="1"/>
        </w:rPr>
        <w:t>By</w:t>
      </w:r>
      <w:r>
        <w:rPr>
          <w:rFonts w:ascii="Exchange" w:hAnsi="Exchange" w:cs="Arial"/>
          <w:color w:val="333333"/>
          <w:sz w:val="15"/>
          <w:szCs w:val="15"/>
        </w:rPr>
        <w:t> </w:t>
      </w:r>
    </w:p>
    <w:p w14:paraId="7F15441D" w14:textId="77777777" w:rsidR="00F63959" w:rsidRDefault="00F63959" w:rsidP="00F63959">
      <w:pPr>
        <w:spacing w:line="330" w:lineRule="atLeast"/>
        <w:textAlignment w:val="baseline"/>
        <w:rPr>
          <w:rFonts w:ascii="Exchange" w:hAnsi="Exchange" w:cs="Arial"/>
          <w:i/>
          <w:iCs/>
          <w:color w:val="333333"/>
          <w:sz w:val="26"/>
          <w:szCs w:val="26"/>
        </w:rPr>
      </w:pPr>
      <w:r>
        <w:rPr>
          <w:rStyle w:val="name"/>
          <w:rFonts w:ascii="Exchange" w:hAnsi="Exchange" w:cs="Arial"/>
          <w:i/>
          <w:iCs/>
          <w:color w:val="0080C3"/>
          <w:sz w:val="26"/>
          <w:szCs w:val="26"/>
          <w:bdr w:val="none" w:sz="0" w:space="0" w:color="auto" w:frame="1"/>
        </w:rPr>
        <w:t>Paul J. Davies</w:t>
      </w:r>
    </w:p>
    <w:p w14:paraId="6DE312F4" w14:textId="77777777" w:rsidR="00F63959" w:rsidRDefault="00F63959" w:rsidP="00F63959">
      <w:pPr>
        <w:textAlignment w:val="baseline"/>
        <w:rPr>
          <w:rFonts w:ascii="Arial" w:hAnsi="Arial" w:cs="Arial"/>
          <w:color w:val="333333"/>
          <w:sz w:val="15"/>
          <w:szCs w:val="15"/>
        </w:rPr>
      </w:pPr>
      <w:r>
        <w:rPr>
          <w:rFonts w:ascii="Arial" w:hAnsi="Arial" w:cs="Arial"/>
          <w:color w:val="333333"/>
          <w:sz w:val="15"/>
          <w:szCs w:val="15"/>
        </w:rPr>
        <w:t>Nov. 8, 2018 8:59 am ET</w:t>
      </w:r>
    </w:p>
    <w:p w14:paraId="3B5B15C0" w14:textId="77777777" w:rsidR="00F63959" w:rsidRDefault="00F63959" w:rsidP="00F63959">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Italian banks are building defenses against their government’s budgetary game of chicken with markets and the European Union’s financial police.</w:t>
      </w:r>
    </w:p>
    <w:p w14:paraId="305E2B03" w14:textId="77777777" w:rsidR="00F63959" w:rsidRDefault="00F63959" w:rsidP="00F63959">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Italy’s face-off with Europe over its expansive borrowing and spending plans has sparked fears over Italian debt levels and caused </w:t>
      </w:r>
      <w:hyperlink r:id="rId64" w:history="1">
        <w:r>
          <w:rPr>
            <w:rStyle w:val="Hyperlink"/>
            <w:rFonts w:ascii="Exchange" w:hAnsi="Exchange" w:cs="Arial"/>
            <w:color w:val="0080C3"/>
            <w:sz w:val="26"/>
            <w:szCs w:val="26"/>
          </w:rPr>
          <w:t>a sharp rise</w:t>
        </w:r>
      </w:hyperlink>
      <w:r>
        <w:rPr>
          <w:rFonts w:ascii="Exchange" w:hAnsi="Exchange" w:cs="Arial"/>
          <w:color w:val="333333"/>
          <w:sz w:val="26"/>
          <w:szCs w:val="26"/>
        </w:rPr>
        <w:t> in sovereign bond yields and a corresponding drop in their value. This </w:t>
      </w:r>
      <w:hyperlink r:id="rId65" w:history="1">
        <w:r>
          <w:rPr>
            <w:rStyle w:val="Hyperlink"/>
            <w:rFonts w:ascii="Exchange" w:hAnsi="Exchange" w:cs="Arial"/>
            <w:color w:val="0080C3"/>
            <w:sz w:val="26"/>
            <w:szCs w:val="26"/>
          </w:rPr>
          <w:t>hurts Italian banks</w:t>
        </w:r>
      </w:hyperlink>
      <w:r>
        <w:rPr>
          <w:rFonts w:ascii="Exchange" w:hAnsi="Exchange" w:cs="Arial"/>
          <w:color w:val="333333"/>
          <w:sz w:val="26"/>
          <w:szCs w:val="26"/>
        </w:rPr>
        <w:t> because they own lots of these bonds.</w:t>
      </w:r>
    </w:p>
    <w:p w14:paraId="27A4D7C6" w14:textId="77777777" w:rsidR="00F63959" w:rsidRDefault="00F63959" w:rsidP="00F63959">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But shareholders </w:t>
      </w:r>
      <w:hyperlink r:id="rId66" w:history="1">
        <w:r>
          <w:rPr>
            <w:rStyle w:val="Hyperlink"/>
            <w:rFonts w:ascii="Exchange" w:hAnsi="Exchange" w:cs="Arial"/>
            <w:color w:val="0080C3"/>
            <w:sz w:val="26"/>
            <w:szCs w:val="26"/>
          </w:rPr>
          <w:t>risk overreacting</w:t>
        </w:r>
      </w:hyperlink>
      <w:r>
        <w:rPr>
          <w:rFonts w:ascii="Exchange" w:hAnsi="Exchange" w:cs="Arial"/>
          <w:color w:val="333333"/>
          <w:sz w:val="26"/>
          <w:szCs w:val="26"/>
        </w:rPr>
        <w:t>: Italian banks sovereign bondholdings may be big compared with their balance sheets, but that doesn’t mean market value changes always spell losses. In fact, banks like </w:t>
      </w:r>
      <w:hyperlink r:id="rId67" w:history="1">
        <w:r>
          <w:rPr>
            <w:rStyle w:val="Hyperlink"/>
            <w:rFonts w:ascii="Exchange" w:hAnsi="Exchange" w:cs="Arial"/>
            <w:color w:val="0080C3"/>
            <w:sz w:val="26"/>
            <w:szCs w:val="26"/>
          </w:rPr>
          <w:t>UniCredit</w:t>
        </w:r>
      </w:hyperlink>
      <w:r>
        <w:rPr>
          <w:rFonts w:ascii="Exchange" w:hAnsi="Exchange" w:cs="Arial"/>
          <w:color w:val="333333"/>
          <w:sz w:val="26"/>
          <w:szCs w:val="26"/>
        </w:rPr>
        <w:t> </w:t>
      </w:r>
      <w:r>
        <w:rPr>
          <w:rStyle w:val="company-name-type"/>
          <w:rFonts w:ascii="Exchange" w:hAnsi="Exchange" w:cs="Arial"/>
          <w:color w:val="333333"/>
          <w:sz w:val="26"/>
          <w:szCs w:val="26"/>
          <w:bdr w:val="none" w:sz="0" w:space="0" w:color="auto" w:frame="1"/>
        </w:rPr>
        <w:t>,</w:t>
      </w:r>
      <w:r>
        <w:rPr>
          <w:rFonts w:ascii="Exchange" w:hAnsi="Exchange" w:cs="Arial"/>
          <w:color w:val="333333"/>
          <w:sz w:val="26"/>
          <w:szCs w:val="26"/>
        </w:rPr>
        <w:t> Italy’s second largest, are making future market moves less costly by changing the bonds’ accounting treatment.</w:t>
      </w:r>
    </w:p>
    <w:p w14:paraId="79F69DEB" w14:textId="77777777" w:rsidR="00F63959" w:rsidRDefault="00F63959" w:rsidP="00F63959">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Jean-Pierre Mustier, UniCredit chief executive, aims to reduce sensitivity to government bond moves by more than one-third next year, he said at third-quarter results on Thursday. That means any further rise in yields will cost it less in terms of capital losses.</w:t>
      </w:r>
    </w:p>
    <w:p w14:paraId="05153C28" w14:textId="77777777" w:rsidR="00F63959" w:rsidRDefault="00F63959" w:rsidP="00F63959">
      <w:pPr>
        <w:textAlignment w:val="baseline"/>
        <w:rPr>
          <w:rFonts w:ascii="Arial" w:hAnsi="Arial" w:cs="Arial"/>
          <w:color w:val="333333"/>
          <w:sz w:val="15"/>
          <w:szCs w:val="15"/>
        </w:rPr>
      </w:pPr>
      <w:r>
        <w:rPr>
          <w:rFonts w:ascii="Arial" w:hAnsi="Arial" w:cs="Arial"/>
          <w:noProof/>
          <w:color w:val="333333"/>
          <w:sz w:val="15"/>
          <w:szCs w:val="15"/>
        </w:rPr>
        <w:drawing>
          <wp:inline distT="0" distB="0" distL="0" distR="0" wp14:anchorId="54AC21FF" wp14:editId="6AA125C0">
            <wp:extent cx="5486400" cy="3654425"/>
            <wp:effectExtent l="0" t="0" r="0" b="3175"/>
            <wp:docPr id="8" name="Picture 8" descr="https://images.wsj.net/im-35729?width=620&amp;siz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wsj.net/im-35729?width=620&amp;size=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3654425"/>
                    </a:xfrm>
                    <a:prstGeom prst="rect">
                      <a:avLst/>
                    </a:prstGeom>
                    <a:noFill/>
                    <a:ln>
                      <a:noFill/>
                    </a:ln>
                  </pic:spPr>
                </pic:pic>
              </a:graphicData>
            </a:graphic>
          </wp:inline>
        </w:drawing>
      </w:r>
    </w:p>
    <w:p w14:paraId="1AB180B5" w14:textId="77777777" w:rsidR="00F63959" w:rsidRDefault="00F63959" w:rsidP="00F63959">
      <w:pPr>
        <w:shd w:val="clear" w:color="auto" w:fill="FFFFFF"/>
        <w:textAlignment w:val="baseline"/>
        <w:rPr>
          <w:rFonts w:ascii="Arial" w:hAnsi="Arial" w:cs="Arial"/>
          <w:color w:val="333333"/>
          <w:sz w:val="15"/>
          <w:szCs w:val="15"/>
        </w:rPr>
      </w:pPr>
      <w:r>
        <w:rPr>
          <w:rStyle w:val="wsj-article-caption-content"/>
          <w:rFonts w:ascii="Retina" w:hAnsi="Retina" w:cs="Arial"/>
          <w:color w:val="333333"/>
          <w:sz w:val="21"/>
          <w:szCs w:val="21"/>
          <w:bdr w:val="none" w:sz="0" w:space="0" w:color="auto" w:frame="1"/>
        </w:rPr>
        <w:t>Jean Pierre Mustier, chief executive of UniCredit. </w:t>
      </w:r>
      <w:r>
        <w:rPr>
          <w:rStyle w:val="wsj-article-credit-tag"/>
          <w:rFonts w:ascii="Retina" w:hAnsi="Retina" w:cs="Arial"/>
          <w:caps/>
          <w:color w:val="333333"/>
          <w:sz w:val="21"/>
          <w:szCs w:val="21"/>
          <w:bdr w:val="none" w:sz="0" w:space="0" w:color="auto" w:frame="1"/>
        </w:rPr>
        <w:t>PHOTO: </w:t>
      </w:r>
      <w:r>
        <w:rPr>
          <w:rStyle w:val="wsj-article-credit"/>
          <w:rFonts w:ascii="Retina" w:hAnsi="Retina" w:cs="Arial"/>
          <w:caps/>
          <w:color w:val="333333"/>
          <w:sz w:val="21"/>
          <w:szCs w:val="21"/>
          <w:bdr w:val="none" w:sz="0" w:space="0" w:color="auto" w:frame="1"/>
        </w:rPr>
        <w:t>STEFAN WERMUTH/BLOOMBERG NEWS</w:t>
      </w:r>
    </w:p>
    <w:p w14:paraId="26A35FBF" w14:textId="77777777" w:rsidR="00F63959" w:rsidRDefault="00F63959" w:rsidP="00F63959">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The bank will do this is by reinvesting money from maturing Italian debt into new bonds that it will classify as “held to maturity”, rather than held for trading or available for sale. In accounting terms, any asset held to maturity can be valued at its historical cost. Assets held for trading or sale must be valued at the current market price.</w:t>
      </w:r>
    </w:p>
    <w:p w14:paraId="649CDA82" w14:textId="77777777" w:rsidR="00F63959" w:rsidRDefault="00F63959" w:rsidP="00F63959">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UniCredit isn’t alone: </w:t>
      </w:r>
      <w:hyperlink r:id="rId69" w:history="1">
        <w:r>
          <w:rPr>
            <w:rStyle w:val="Hyperlink"/>
            <w:rFonts w:ascii="Exchange" w:hAnsi="Exchange" w:cs="Arial"/>
            <w:color w:val="0080C3"/>
            <w:sz w:val="26"/>
            <w:szCs w:val="26"/>
          </w:rPr>
          <w:t>Banco BPM</w:t>
        </w:r>
      </w:hyperlink>
      <w:r>
        <w:rPr>
          <w:rFonts w:ascii="Exchange" w:hAnsi="Exchange" w:cs="Arial"/>
          <w:color w:val="333333"/>
          <w:sz w:val="26"/>
          <w:szCs w:val="26"/>
        </w:rPr>
        <w:t> </w:t>
      </w:r>
      <w:r>
        <w:rPr>
          <w:rStyle w:val="company-name-type"/>
          <w:rFonts w:ascii="Exchange" w:hAnsi="Exchange" w:cs="Arial"/>
          <w:color w:val="333333"/>
          <w:sz w:val="26"/>
          <w:szCs w:val="26"/>
          <w:bdr w:val="none" w:sz="0" w:space="0" w:color="auto" w:frame="1"/>
        </w:rPr>
        <w:t>,</w:t>
      </w:r>
      <w:r>
        <w:rPr>
          <w:rFonts w:ascii="Exchange" w:hAnsi="Exchange" w:cs="Arial"/>
          <w:color w:val="333333"/>
          <w:sz w:val="26"/>
          <w:szCs w:val="26"/>
        </w:rPr>
        <w:t> a smaller rival, also said Thursday it was doing a similar thing.</w:t>
      </w:r>
    </w:p>
    <w:p w14:paraId="707788F0" w14:textId="77777777" w:rsidR="00F63959" w:rsidRDefault="00F63959" w:rsidP="00F63959">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This makes particular sense for UniCredit because it has a greater share of Italian sovereign bonds being marked to market than most peers. At the end of the second quarter, less than 9% of its Italian bonds were held to maturity. While that increased to more than 14% at the end of the third quarter, it still lags behind most rivals.</w:t>
      </w:r>
    </w:p>
    <w:p w14:paraId="34CD459E" w14:textId="77777777" w:rsidR="00F63959" w:rsidRDefault="00F63959" w:rsidP="00F63959">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Intesa classified 32% of its Italian debt as held to maturity at the end of the third quarter, up marginally from 31% in the second. For Banco BPM the share is more than 50%. At BNL, the local subsidiary of French bank </w:t>
      </w:r>
      <w:hyperlink r:id="rId70" w:history="1">
        <w:r>
          <w:rPr>
            <w:rStyle w:val="Hyperlink"/>
            <w:rFonts w:ascii="Exchange" w:hAnsi="Exchange" w:cs="Arial"/>
            <w:color w:val="0080C3"/>
            <w:sz w:val="26"/>
            <w:szCs w:val="26"/>
          </w:rPr>
          <w:t>BNP Paribas</w:t>
        </w:r>
      </w:hyperlink>
      <w:r>
        <w:rPr>
          <w:rFonts w:ascii="Exchange" w:hAnsi="Exchange" w:cs="Arial"/>
          <w:color w:val="333333"/>
          <w:sz w:val="26"/>
          <w:szCs w:val="26"/>
        </w:rPr>
        <w:t> </w:t>
      </w:r>
      <w:r>
        <w:rPr>
          <w:rStyle w:val="company-name-type"/>
          <w:rFonts w:ascii="Exchange" w:hAnsi="Exchange" w:cs="Arial"/>
          <w:color w:val="333333"/>
          <w:sz w:val="26"/>
          <w:szCs w:val="26"/>
          <w:bdr w:val="none" w:sz="0" w:space="0" w:color="auto" w:frame="1"/>
        </w:rPr>
        <w:t>,</w:t>
      </w:r>
      <w:r>
        <w:rPr>
          <w:rFonts w:ascii="Exchange" w:hAnsi="Exchange" w:cs="Arial"/>
          <w:color w:val="333333"/>
          <w:sz w:val="26"/>
          <w:szCs w:val="26"/>
        </w:rPr>
        <w:t> all Italian bonds are held to maturity, meaning it saw no losses at all this year from market moves.</w:t>
      </w:r>
    </w:p>
    <w:p w14:paraId="41F47D90" w14:textId="77777777" w:rsidR="00F63959" w:rsidRDefault="00F63959" w:rsidP="00F63959">
      <w:pPr>
        <w:pStyle w:val="Heading4"/>
        <w:spacing w:before="0" w:line="300" w:lineRule="atLeast"/>
        <w:textAlignment w:val="baseline"/>
        <w:rPr>
          <w:rFonts w:ascii="Retina" w:hAnsi="Retina" w:cs="Arial"/>
          <w:color w:val="333333"/>
        </w:rPr>
      </w:pPr>
      <w:r>
        <w:rPr>
          <w:rFonts w:ascii="Retina" w:hAnsi="Retina" w:cs="Arial"/>
          <w:b/>
          <w:bCs/>
          <w:color w:val="333333"/>
        </w:rPr>
        <w:t>Newsletter Sign-up</w:t>
      </w:r>
    </w:p>
    <w:p w14:paraId="5B81DBDF" w14:textId="77777777" w:rsidR="00F63959" w:rsidRDefault="00F63959" w:rsidP="00F63959">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Most of the banks’ government bonds not held to maturity are classified as available for sale, according to Tom Kinmonth at </w:t>
      </w:r>
      <w:hyperlink r:id="rId71" w:history="1">
        <w:r>
          <w:rPr>
            <w:rStyle w:val="Hyperlink"/>
            <w:rFonts w:ascii="Exchange" w:hAnsi="Exchange" w:cs="Arial"/>
            <w:color w:val="0080C3"/>
            <w:sz w:val="26"/>
            <w:szCs w:val="26"/>
          </w:rPr>
          <w:t>ABN Amro</w:t>
        </w:r>
      </w:hyperlink>
      <w:r>
        <w:rPr>
          <w:rFonts w:ascii="Exchange" w:hAnsi="Exchange" w:cs="Arial"/>
          <w:color w:val="333333"/>
          <w:sz w:val="26"/>
          <w:szCs w:val="26"/>
        </w:rPr>
        <w:t> </w:t>
      </w:r>
      <w:r>
        <w:rPr>
          <w:rStyle w:val="company-name-type"/>
          <w:rFonts w:ascii="Exchange" w:hAnsi="Exchange" w:cs="Arial"/>
          <w:color w:val="333333"/>
          <w:sz w:val="26"/>
          <w:szCs w:val="26"/>
          <w:bdr w:val="none" w:sz="0" w:space="0" w:color="auto" w:frame="1"/>
        </w:rPr>
        <w:t>.</w:t>
      </w:r>
      <w:r>
        <w:rPr>
          <w:rFonts w:ascii="Exchange" w:hAnsi="Exchange" w:cs="Arial"/>
          <w:color w:val="333333"/>
          <w:sz w:val="26"/>
          <w:szCs w:val="26"/>
        </w:rPr>
        <w:t> This is most costly because market-value losses cut directly into capital.</w:t>
      </w:r>
    </w:p>
    <w:p w14:paraId="1FDCDCB2" w14:textId="77777777" w:rsidR="00F63959" w:rsidRDefault="00F63959" w:rsidP="00F63959">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Of course, the different accounting treatment won’t help if Italy defaults, or quits the euro, but both outcomes look very unlikely. A bigger problem could be that if conditions improve, banks with more debt held to maturity will miss out on market gains. The new accounting cuts both ways.</w:t>
      </w:r>
    </w:p>
    <w:p w14:paraId="770B549B" w14:textId="77777777" w:rsidR="00F63959" w:rsidRDefault="00F63959" w:rsidP="00F63959">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But right now these moves are sensible. Italy’s battles with Europe and markets aren’t over. Bank investors could do with having less reason to worry about them.</w:t>
      </w:r>
    </w:p>
    <w:p w14:paraId="08B9A424" w14:textId="77777777" w:rsidR="00F63959" w:rsidRDefault="00F63959" w:rsidP="00F63959">
      <w:pPr>
        <w:pStyle w:val="NormalWeb"/>
        <w:spacing w:before="0" w:beforeAutospacing="0" w:after="0" w:afterAutospacing="0" w:line="405" w:lineRule="atLeast"/>
        <w:textAlignment w:val="baseline"/>
        <w:rPr>
          <w:rFonts w:ascii="Exchange" w:hAnsi="Exchange" w:cs="Arial"/>
          <w:color w:val="333333"/>
          <w:sz w:val="26"/>
          <w:szCs w:val="26"/>
        </w:rPr>
      </w:pPr>
      <w:r>
        <w:rPr>
          <w:rStyle w:val="Strong"/>
          <w:rFonts w:ascii="Exchange" w:hAnsi="Exchange" w:cs="Arial"/>
          <w:b/>
          <w:bCs/>
          <w:color w:val="333333"/>
          <w:sz w:val="26"/>
          <w:szCs w:val="26"/>
          <w:bdr w:val="none" w:sz="0" w:space="0" w:color="auto" w:frame="1"/>
        </w:rPr>
        <w:t>Write to </w:t>
      </w:r>
      <w:r>
        <w:rPr>
          <w:rFonts w:ascii="Exchange" w:hAnsi="Exchange" w:cs="Arial"/>
          <w:color w:val="333333"/>
          <w:sz w:val="26"/>
          <w:szCs w:val="26"/>
        </w:rPr>
        <w:t>Paul J. Davies at </w:t>
      </w:r>
      <w:hyperlink r:id="rId72" w:tgtFrame="_blank" w:history="1">
        <w:r>
          <w:rPr>
            <w:rStyle w:val="Hyperlink"/>
            <w:rFonts w:ascii="Exchange" w:hAnsi="Exchange" w:cs="Arial"/>
            <w:color w:val="0080C3"/>
            <w:sz w:val="26"/>
            <w:szCs w:val="26"/>
          </w:rPr>
          <w:t>paul.davies@wsj.com</w:t>
        </w:r>
      </w:hyperlink>
    </w:p>
    <w:p w14:paraId="54DAA6DC" w14:textId="77777777" w:rsidR="00D3055C" w:rsidRDefault="00D3055C" w:rsidP="00F63959"/>
    <w:sectPr w:rsidR="00D305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Escrow Condensed">
    <w:altName w:val="Cambria"/>
    <w:panose1 w:val="00000000000000000000"/>
    <w:charset w:val="00"/>
    <w:family w:val="roman"/>
    <w:notTrueType/>
    <w:pitch w:val="default"/>
  </w:font>
  <w:font w:name="Retina">
    <w:altName w:val="Cambria"/>
    <w:panose1 w:val="00000000000000000000"/>
    <w:charset w:val="00"/>
    <w:family w:val="roman"/>
    <w:notTrueType/>
    <w:pitch w:val="default"/>
  </w:font>
  <w:font w:name="Exchange">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151B5"/>
    <w:multiLevelType w:val="multilevel"/>
    <w:tmpl w:val="9572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647408"/>
    <w:multiLevelType w:val="multilevel"/>
    <w:tmpl w:val="528E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32E4D"/>
    <w:multiLevelType w:val="multilevel"/>
    <w:tmpl w:val="FDB6C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CD6B7E"/>
    <w:multiLevelType w:val="multilevel"/>
    <w:tmpl w:val="3336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C6780D"/>
    <w:multiLevelType w:val="multilevel"/>
    <w:tmpl w:val="C9B4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30"/>
    <w:rsid w:val="000278E9"/>
    <w:rsid w:val="000B3C48"/>
    <w:rsid w:val="000D3774"/>
    <w:rsid w:val="00290CD8"/>
    <w:rsid w:val="00516DC7"/>
    <w:rsid w:val="005B334F"/>
    <w:rsid w:val="006E6057"/>
    <w:rsid w:val="0077390E"/>
    <w:rsid w:val="007B1B3D"/>
    <w:rsid w:val="00805AE6"/>
    <w:rsid w:val="00850DB3"/>
    <w:rsid w:val="00876A4D"/>
    <w:rsid w:val="008B33A5"/>
    <w:rsid w:val="00953027"/>
    <w:rsid w:val="009B62A0"/>
    <w:rsid w:val="00A045E7"/>
    <w:rsid w:val="00A31D85"/>
    <w:rsid w:val="00AF772F"/>
    <w:rsid w:val="00B26B89"/>
    <w:rsid w:val="00B2713C"/>
    <w:rsid w:val="00D3055C"/>
    <w:rsid w:val="00D62E30"/>
    <w:rsid w:val="00F63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65F383C"/>
  <w15:docId w15:val="{EBB414D2-9E2E-4119-BFD5-69C034401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E3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D62E30"/>
    <w:pPr>
      <w:outlineLvl w:val="0"/>
    </w:pPr>
    <w:rPr>
      <w:kern w:val="36"/>
    </w:rPr>
  </w:style>
  <w:style w:type="paragraph" w:styleId="Heading2">
    <w:name w:val="heading 2"/>
    <w:basedOn w:val="Normal"/>
    <w:next w:val="Normal"/>
    <w:link w:val="Heading2Char"/>
    <w:uiPriority w:val="9"/>
    <w:semiHidden/>
    <w:unhideWhenUsed/>
    <w:qFormat/>
    <w:rsid w:val="00876A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D62E30"/>
    <w:pPr>
      <w:outlineLvl w:val="2"/>
    </w:pPr>
  </w:style>
  <w:style w:type="paragraph" w:styleId="Heading4">
    <w:name w:val="heading 4"/>
    <w:basedOn w:val="Normal"/>
    <w:next w:val="Normal"/>
    <w:link w:val="Heading4Char"/>
    <w:uiPriority w:val="9"/>
    <w:semiHidden/>
    <w:unhideWhenUsed/>
    <w:qFormat/>
    <w:rsid w:val="00F6395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link w:val="Heading6Char"/>
    <w:qFormat/>
    <w:rsid w:val="00D62E3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2E30"/>
    <w:rPr>
      <w:rFonts w:ascii="Times New Roman" w:eastAsia="Times New Roman" w:hAnsi="Times New Roman" w:cs="Times New Roman"/>
      <w:kern w:val="36"/>
      <w:sz w:val="24"/>
      <w:szCs w:val="24"/>
    </w:rPr>
  </w:style>
  <w:style w:type="character" w:customStyle="1" w:styleId="Heading3Char">
    <w:name w:val="Heading 3 Char"/>
    <w:basedOn w:val="DefaultParagraphFont"/>
    <w:link w:val="Heading3"/>
    <w:rsid w:val="00D62E3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D62E30"/>
    <w:rPr>
      <w:rFonts w:ascii="Times New Roman" w:eastAsia="Times New Roman" w:hAnsi="Times New Roman" w:cs="Times New Roman"/>
      <w:sz w:val="24"/>
      <w:szCs w:val="24"/>
    </w:rPr>
  </w:style>
  <w:style w:type="character" w:styleId="Hyperlink">
    <w:name w:val="Hyperlink"/>
    <w:uiPriority w:val="99"/>
    <w:rsid w:val="00D62E30"/>
    <w:rPr>
      <w:strike w:val="0"/>
      <w:dstrike w:val="0"/>
      <w:color w:val="093D72"/>
      <w:u w:val="none"/>
      <w:effect w:val="none"/>
    </w:rPr>
  </w:style>
  <w:style w:type="character" w:styleId="HTMLCite">
    <w:name w:val="HTML Cite"/>
    <w:rsid w:val="00D62E30"/>
    <w:rPr>
      <w:b w:val="0"/>
      <w:bCs w:val="0"/>
      <w:i w:val="0"/>
      <w:iCs w:val="0"/>
    </w:rPr>
  </w:style>
  <w:style w:type="character" w:styleId="Emphasis">
    <w:name w:val="Emphasis"/>
    <w:uiPriority w:val="20"/>
    <w:qFormat/>
    <w:rsid w:val="00D62E30"/>
    <w:rPr>
      <w:b w:val="0"/>
      <w:bCs w:val="0"/>
      <w:i w:val="0"/>
      <w:iCs w:val="0"/>
    </w:rPr>
  </w:style>
  <w:style w:type="character" w:styleId="Strong">
    <w:name w:val="Strong"/>
    <w:uiPriority w:val="22"/>
    <w:qFormat/>
    <w:rsid w:val="00D62E30"/>
    <w:rPr>
      <w:b w:val="0"/>
      <w:bCs w:val="0"/>
      <w:i w:val="0"/>
      <w:iCs w:val="0"/>
    </w:rPr>
  </w:style>
  <w:style w:type="paragraph" w:styleId="NormalWeb">
    <w:name w:val="Normal (Web)"/>
    <w:basedOn w:val="Normal"/>
    <w:uiPriority w:val="99"/>
    <w:rsid w:val="00D62E30"/>
    <w:pPr>
      <w:spacing w:before="100" w:beforeAutospacing="1" w:after="100" w:afterAutospacing="1"/>
    </w:pPr>
  </w:style>
  <w:style w:type="paragraph" w:customStyle="1" w:styleId="targetcaption">
    <w:name w:val="targetcaption"/>
    <w:basedOn w:val="Normal"/>
    <w:rsid w:val="00D62E30"/>
    <w:pPr>
      <w:spacing w:before="100" w:beforeAutospacing="1" w:after="100" w:afterAutospacing="1"/>
    </w:pPr>
  </w:style>
  <w:style w:type="paragraph" w:customStyle="1" w:styleId="heading">
    <w:name w:val="heading"/>
    <w:basedOn w:val="Normal"/>
    <w:rsid w:val="00D62E30"/>
    <w:pPr>
      <w:spacing w:before="150" w:after="150"/>
      <w:ind w:left="225" w:right="225"/>
    </w:pPr>
    <w:rPr>
      <w:rFonts w:eastAsia="MS Mincho"/>
      <w:caps/>
      <w:color w:val="990000"/>
      <w:spacing w:val="60"/>
      <w:lang w:eastAsia="ja-JP"/>
    </w:rPr>
  </w:style>
  <w:style w:type="paragraph" w:customStyle="1" w:styleId="byline">
    <w:name w:val="byline"/>
    <w:basedOn w:val="Normal"/>
    <w:rsid w:val="00D62E30"/>
    <w:pPr>
      <w:spacing w:before="150" w:after="150"/>
      <w:ind w:left="225" w:right="225"/>
    </w:pPr>
    <w:rPr>
      <w:rFonts w:eastAsia="MS Mincho"/>
      <w:b/>
      <w:bCs/>
      <w:sz w:val="29"/>
      <w:szCs w:val="29"/>
      <w:lang w:eastAsia="ja-JP"/>
    </w:rPr>
  </w:style>
  <w:style w:type="paragraph" w:styleId="BalloonText">
    <w:name w:val="Balloon Text"/>
    <w:basedOn w:val="Normal"/>
    <w:link w:val="BalloonTextChar"/>
    <w:uiPriority w:val="99"/>
    <w:semiHidden/>
    <w:unhideWhenUsed/>
    <w:rsid w:val="00D62E30"/>
    <w:rPr>
      <w:rFonts w:ascii="Tahoma" w:hAnsi="Tahoma" w:cs="Tahoma"/>
      <w:sz w:val="16"/>
      <w:szCs w:val="16"/>
    </w:rPr>
  </w:style>
  <w:style w:type="character" w:customStyle="1" w:styleId="BalloonTextChar">
    <w:name w:val="Balloon Text Char"/>
    <w:basedOn w:val="DefaultParagraphFont"/>
    <w:link w:val="BalloonText"/>
    <w:uiPriority w:val="99"/>
    <w:semiHidden/>
    <w:rsid w:val="00D62E30"/>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876A4D"/>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876A4D"/>
  </w:style>
  <w:style w:type="character" w:customStyle="1" w:styleId="Heading4Char">
    <w:name w:val="Heading 4 Char"/>
    <w:basedOn w:val="DefaultParagraphFont"/>
    <w:link w:val="Heading4"/>
    <w:uiPriority w:val="9"/>
    <w:semiHidden/>
    <w:rsid w:val="00F63959"/>
    <w:rPr>
      <w:rFonts w:asciiTheme="majorHAnsi" w:eastAsiaTheme="majorEastAsia" w:hAnsiTheme="majorHAnsi" w:cstheme="majorBidi"/>
      <w:i/>
      <w:iCs/>
      <w:color w:val="365F91" w:themeColor="accent1" w:themeShade="BF"/>
      <w:sz w:val="24"/>
      <w:szCs w:val="24"/>
    </w:rPr>
  </w:style>
  <w:style w:type="character" w:customStyle="1" w:styleId="name">
    <w:name w:val="name"/>
    <w:basedOn w:val="DefaultParagraphFont"/>
    <w:rsid w:val="00F63959"/>
  </w:style>
  <w:style w:type="character" w:customStyle="1" w:styleId="company-name-type">
    <w:name w:val="company-name-type"/>
    <w:basedOn w:val="DefaultParagraphFont"/>
    <w:rsid w:val="00F63959"/>
  </w:style>
  <w:style w:type="character" w:customStyle="1" w:styleId="wsj-article-caption-content">
    <w:name w:val="wsj-article-caption-content"/>
    <w:basedOn w:val="DefaultParagraphFont"/>
    <w:rsid w:val="00F63959"/>
  </w:style>
  <w:style w:type="character" w:customStyle="1" w:styleId="wsj-article-credit">
    <w:name w:val="wsj-article-credit"/>
    <w:basedOn w:val="DefaultParagraphFont"/>
    <w:rsid w:val="00F63959"/>
  </w:style>
  <w:style w:type="character" w:customStyle="1" w:styleId="wsj-article-credit-tag">
    <w:name w:val="wsj-article-credit-tag"/>
    <w:basedOn w:val="DefaultParagraphFont"/>
    <w:rsid w:val="00F63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070245">
      <w:bodyDiv w:val="1"/>
      <w:marLeft w:val="0"/>
      <w:marRight w:val="0"/>
      <w:marTop w:val="0"/>
      <w:marBottom w:val="0"/>
      <w:divBdr>
        <w:top w:val="none" w:sz="0" w:space="0" w:color="auto"/>
        <w:left w:val="none" w:sz="0" w:space="0" w:color="auto"/>
        <w:bottom w:val="none" w:sz="0" w:space="0" w:color="auto"/>
        <w:right w:val="none" w:sz="0" w:space="0" w:color="auto"/>
      </w:divBdr>
      <w:divsChild>
        <w:div w:id="1373383551">
          <w:marLeft w:val="0"/>
          <w:marRight w:val="0"/>
          <w:marTop w:val="0"/>
          <w:marBottom w:val="0"/>
          <w:divBdr>
            <w:top w:val="none" w:sz="0" w:space="0" w:color="auto"/>
            <w:left w:val="none" w:sz="0" w:space="0" w:color="auto"/>
            <w:bottom w:val="none" w:sz="0" w:space="0" w:color="auto"/>
            <w:right w:val="none" w:sz="0" w:space="0" w:color="auto"/>
          </w:divBdr>
          <w:divsChild>
            <w:div w:id="1399399795">
              <w:marLeft w:val="0"/>
              <w:marRight w:val="0"/>
              <w:marTop w:val="0"/>
              <w:marBottom w:val="375"/>
              <w:divBdr>
                <w:top w:val="none" w:sz="0" w:space="0" w:color="auto"/>
                <w:left w:val="none" w:sz="0" w:space="0" w:color="auto"/>
                <w:bottom w:val="none" w:sz="0" w:space="0" w:color="auto"/>
                <w:right w:val="none" w:sz="0" w:space="0" w:color="auto"/>
              </w:divBdr>
            </w:div>
          </w:divsChild>
        </w:div>
        <w:div w:id="1693800658">
          <w:marLeft w:val="1200"/>
          <w:marRight w:val="0"/>
          <w:marTop w:val="0"/>
          <w:marBottom w:val="0"/>
          <w:divBdr>
            <w:top w:val="none" w:sz="0" w:space="0" w:color="auto"/>
            <w:left w:val="none" w:sz="0" w:space="0" w:color="auto"/>
            <w:bottom w:val="none" w:sz="0" w:space="0" w:color="auto"/>
            <w:right w:val="none" w:sz="0" w:space="0" w:color="auto"/>
          </w:divBdr>
          <w:divsChild>
            <w:div w:id="552694294">
              <w:marLeft w:val="150"/>
              <w:marRight w:val="150"/>
              <w:marTop w:val="0"/>
              <w:marBottom w:val="0"/>
              <w:divBdr>
                <w:top w:val="none" w:sz="0" w:space="0" w:color="auto"/>
                <w:left w:val="none" w:sz="0" w:space="0" w:color="auto"/>
                <w:bottom w:val="none" w:sz="0" w:space="0" w:color="auto"/>
                <w:right w:val="none" w:sz="0" w:space="0" w:color="auto"/>
              </w:divBdr>
              <w:divsChild>
                <w:div w:id="1277249722">
                  <w:marLeft w:val="0"/>
                  <w:marRight w:val="0"/>
                  <w:marTop w:val="0"/>
                  <w:marBottom w:val="0"/>
                  <w:divBdr>
                    <w:top w:val="none" w:sz="0" w:space="0" w:color="auto"/>
                    <w:left w:val="none" w:sz="0" w:space="0" w:color="auto"/>
                    <w:bottom w:val="none" w:sz="0" w:space="0" w:color="auto"/>
                    <w:right w:val="none" w:sz="0" w:space="0" w:color="auto"/>
                  </w:divBdr>
                  <w:divsChild>
                    <w:div w:id="1332873318">
                      <w:marLeft w:val="0"/>
                      <w:marRight w:val="0"/>
                      <w:marTop w:val="0"/>
                      <w:marBottom w:val="750"/>
                      <w:divBdr>
                        <w:top w:val="none" w:sz="0" w:space="0" w:color="auto"/>
                        <w:left w:val="none" w:sz="0" w:space="0" w:color="auto"/>
                        <w:bottom w:val="none" w:sz="0" w:space="0" w:color="auto"/>
                        <w:right w:val="none" w:sz="0" w:space="0" w:color="auto"/>
                      </w:divBdr>
                      <w:divsChild>
                        <w:div w:id="1550919718">
                          <w:marLeft w:val="0"/>
                          <w:marRight w:val="0"/>
                          <w:marTop w:val="0"/>
                          <w:marBottom w:val="0"/>
                          <w:divBdr>
                            <w:top w:val="none" w:sz="0" w:space="0" w:color="auto"/>
                            <w:left w:val="none" w:sz="0" w:space="0" w:color="auto"/>
                            <w:bottom w:val="none" w:sz="0" w:space="0" w:color="auto"/>
                            <w:right w:val="none" w:sz="0" w:space="0" w:color="auto"/>
                          </w:divBdr>
                          <w:divsChild>
                            <w:div w:id="1726373653">
                              <w:marLeft w:val="-1200"/>
                              <w:marRight w:val="0"/>
                              <w:marTop w:val="0"/>
                              <w:marBottom w:val="330"/>
                              <w:divBdr>
                                <w:top w:val="none" w:sz="0" w:space="0" w:color="auto"/>
                                <w:left w:val="none" w:sz="0" w:space="0" w:color="auto"/>
                                <w:bottom w:val="none" w:sz="0" w:space="0" w:color="auto"/>
                                <w:right w:val="none" w:sz="0" w:space="0" w:color="auto"/>
                              </w:divBdr>
                              <w:divsChild>
                                <w:div w:id="1914120307">
                                  <w:marLeft w:val="0"/>
                                  <w:marRight w:val="0"/>
                                  <w:marTop w:val="0"/>
                                  <w:marBottom w:val="0"/>
                                  <w:divBdr>
                                    <w:top w:val="none" w:sz="0" w:space="0" w:color="auto"/>
                                    <w:left w:val="none" w:sz="0" w:space="0" w:color="auto"/>
                                    <w:bottom w:val="none" w:sz="0" w:space="0" w:color="auto"/>
                                    <w:right w:val="none" w:sz="0" w:space="0" w:color="auto"/>
                                  </w:divBdr>
                                  <w:divsChild>
                                    <w:div w:id="1046367424">
                                      <w:marLeft w:val="0"/>
                                      <w:marRight w:val="0"/>
                                      <w:marTop w:val="0"/>
                                      <w:marBottom w:val="0"/>
                                      <w:divBdr>
                                        <w:top w:val="none" w:sz="0" w:space="0" w:color="auto"/>
                                        <w:left w:val="none" w:sz="0" w:space="0" w:color="auto"/>
                                        <w:bottom w:val="none" w:sz="0" w:space="0" w:color="auto"/>
                                        <w:right w:val="none" w:sz="0" w:space="0" w:color="auto"/>
                                      </w:divBdr>
                                      <w:divsChild>
                                        <w:div w:id="739597322">
                                          <w:marLeft w:val="0"/>
                                          <w:marRight w:val="0"/>
                                          <w:marTop w:val="0"/>
                                          <w:marBottom w:val="0"/>
                                          <w:divBdr>
                                            <w:top w:val="none" w:sz="0" w:space="0" w:color="auto"/>
                                            <w:left w:val="none" w:sz="0" w:space="0" w:color="auto"/>
                                            <w:bottom w:val="none" w:sz="0" w:space="0" w:color="auto"/>
                                            <w:right w:val="none" w:sz="0" w:space="0" w:color="auto"/>
                                          </w:divBdr>
                                        </w:div>
                                        <w:div w:id="42391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6917">
                          <w:marLeft w:val="0"/>
                          <w:marRight w:val="0"/>
                          <w:marTop w:val="0"/>
                          <w:marBottom w:val="270"/>
                          <w:divBdr>
                            <w:top w:val="none" w:sz="0" w:space="0" w:color="auto"/>
                            <w:left w:val="none" w:sz="0" w:space="0" w:color="auto"/>
                            <w:bottom w:val="none" w:sz="0" w:space="0" w:color="auto"/>
                            <w:right w:val="none" w:sz="0" w:space="0" w:color="auto"/>
                          </w:divBdr>
                          <w:divsChild>
                            <w:div w:id="798229118">
                              <w:marLeft w:val="0"/>
                              <w:marRight w:val="2250"/>
                              <w:marTop w:val="0"/>
                              <w:marBottom w:val="30"/>
                              <w:divBdr>
                                <w:top w:val="none" w:sz="0" w:space="0" w:color="auto"/>
                                <w:left w:val="none" w:sz="0" w:space="0" w:color="auto"/>
                                <w:bottom w:val="none" w:sz="0" w:space="0" w:color="auto"/>
                                <w:right w:val="none" w:sz="0" w:space="0" w:color="auto"/>
                              </w:divBdr>
                              <w:divsChild>
                                <w:div w:id="128006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040829">
                          <w:marLeft w:val="0"/>
                          <w:marRight w:val="0"/>
                          <w:marTop w:val="0"/>
                          <w:marBottom w:val="0"/>
                          <w:divBdr>
                            <w:top w:val="none" w:sz="0" w:space="0" w:color="auto"/>
                            <w:left w:val="none" w:sz="0" w:space="0" w:color="auto"/>
                            <w:bottom w:val="none" w:sz="0" w:space="0" w:color="auto"/>
                            <w:right w:val="none" w:sz="0" w:space="0" w:color="auto"/>
                          </w:divBdr>
                          <w:divsChild>
                            <w:div w:id="408158216">
                              <w:marLeft w:val="0"/>
                              <w:marRight w:val="0"/>
                              <w:marTop w:val="0"/>
                              <w:marBottom w:val="0"/>
                              <w:divBdr>
                                <w:top w:val="none" w:sz="0" w:space="0" w:color="auto"/>
                                <w:left w:val="none" w:sz="0" w:space="0" w:color="auto"/>
                                <w:bottom w:val="none" w:sz="0" w:space="0" w:color="auto"/>
                                <w:right w:val="none" w:sz="0" w:space="0" w:color="auto"/>
                              </w:divBdr>
                              <w:divsChild>
                                <w:div w:id="1606645533">
                                  <w:marLeft w:val="0"/>
                                  <w:marRight w:val="450"/>
                                  <w:marTop w:val="45"/>
                                  <w:marBottom w:val="345"/>
                                  <w:divBdr>
                                    <w:top w:val="none" w:sz="0" w:space="0" w:color="auto"/>
                                    <w:left w:val="none" w:sz="0" w:space="0" w:color="auto"/>
                                    <w:bottom w:val="none" w:sz="0" w:space="0" w:color="auto"/>
                                    <w:right w:val="none" w:sz="0" w:space="0" w:color="auto"/>
                                  </w:divBdr>
                                  <w:divsChild>
                                    <w:div w:id="896860479">
                                      <w:marLeft w:val="0"/>
                                      <w:marRight w:val="0"/>
                                      <w:marTop w:val="0"/>
                                      <w:marBottom w:val="105"/>
                                      <w:divBdr>
                                        <w:top w:val="none" w:sz="0" w:space="0" w:color="auto"/>
                                        <w:left w:val="none" w:sz="0" w:space="0" w:color="auto"/>
                                        <w:bottom w:val="none" w:sz="0" w:space="0" w:color="auto"/>
                                        <w:right w:val="none" w:sz="0" w:space="0" w:color="auto"/>
                                      </w:divBdr>
                                    </w:div>
                                  </w:divsChild>
                                </w:div>
                                <w:div w:id="1639383077">
                                  <w:marLeft w:val="0"/>
                                  <w:marRight w:val="450"/>
                                  <w:marTop w:val="45"/>
                                  <w:marBottom w:val="345"/>
                                  <w:divBdr>
                                    <w:top w:val="none" w:sz="0" w:space="0" w:color="auto"/>
                                    <w:left w:val="none" w:sz="0" w:space="0" w:color="auto"/>
                                    <w:bottom w:val="none" w:sz="0" w:space="0" w:color="auto"/>
                                    <w:right w:val="none" w:sz="0" w:space="0" w:color="auto"/>
                                  </w:divBdr>
                                  <w:divsChild>
                                    <w:div w:id="1039670613">
                                      <w:marLeft w:val="0"/>
                                      <w:marRight w:val="0"/>
                                      <w:marTop w:val="0"/>
                                      <w:marBottom w:val="120"/>
                                      <w:divBdr>
                                        <w:top w:val="single" w:sz="6" w:space="0" w:color="DADADA"/>
                                        <w:left w:val="none" w:sz="0" w:space="0" w:color="auto"/>
                                        <w:bottom w:val="none" w:sz="0" w:space="0" w:color="auto"/>
                                        <w:right w:val="none" w:sz="0" w:space="0" w:color="auto"/>
                                      </w:divBdr>
                                    </w:div>
                                  </w:divsChild>
                                </w:div>
                              </w:divsChild>
                            </w:div>
                          </w:divsChild>
                        </w:div>
                      </w:divsChild>
                    </w:div>
                  </w:divsChild>
                </w:div>
              </w:divsChild>
            </w:div>
          </w:divsChild>
        </w:div>
      </w:divsChild>
    </w:div>
    <w:div w:id="24943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wsj.com/article/SB124396078596677535.html##" TargetMode="External"/><Relationship Id="rId18" Type="http://schemas.openxmlformats.org/officeDocument/2006/relationships/hyperlink" Target="http://online.wsj.com/public/quotes/main.html?type=djn&amp;symbol=c" TargetMode="External"/><Relationship Id="rId26" Type="http://schemas.openxmlformats.org/officeDocument/2006/relationships/hyperlink" Target="http://online.wsj.com/public/quotes/main.html?type=djn&amp;symbol=KEY" TargetMode="External"/><Relationship Id="rId39" Type="http://schemas.openxmlformats.org/officeDocument/2006/relationships/hyperlink" Target="http://online.wsj.com/public/quotes/main.html?type=djn&amp;symbol=MS?mod=inlineTicker" TargetMode="External"/><Relationship Id="rId21" Type="http://schemas.openxmlformats.org/officeDocument/2006/relationships/hyperlink" Target="http://online.wsj.com/public/search?article-doc-type=%7BHeard+on+the+Street%7D&amp;HEADER_TEXT=heard+on+the+street" TargetMode="External"/><Relationship Id="rId34" Type="http://schemas.openxmlformats.org/officeDocument/2006/relationships/hyperlink" Target="mailto:david.enrich@wsj.com" TargetMode="External"/><Relationship Id="rId42" Type="http://schemas.openxmlformats.org/officeDocument/2006/relationships/image" Target="media/image6.jpeg"/><Relationship Id="rId47" Type="http://schemas.openxmlformats.org/officeDocument/2006/relationships/hyperlink" Target="http://online.wsj.com/public/quotes/main.html?type=djn&amp;symbol=WFC" TargetMode="External"/><Relationship Id="rId50" Type="http://schemas.openxmlformats.org/officeDocument/2006/relationships/hyperlink" Target="http://online.wsj.com/public/quotes/main.html?type=djn&amp;symbol=C" TargetMode="External"/><Relationship Id="rId55" Type="http://schemas.openxmlformats.org/officeDocument/2006/relationships/image" Target="media/image7.png"/><Relationship Id="rId63" Type="http://schemas.openxmlformats.org/officeDocument/2006/relationships/hyperlink" Target="https://reach.dowjones.com/owa/,DanaInfo=owa.dowjones.com,SSL+redir.aspx?C=atrSbkEzTECuYBtknBQQK31ALmz9KdAIIZK3yGmFn89VSAWzre1x-xSqXLPbguS7iFiryymfrcI.&amp;URL=http%3a%2f%2fwww.accountingfoundation.org%2fcs%2fContentServer%3fc%3dFAFContent_C%26pagename%3dFoundation%2fFAFContent_C%2fFAFNewsPage%26cid%3d1176162641915%26utm_source%3dtwitterfeed%26utm_medium%3dtwitter" TargetMode="External"/><Relationship Id="rId68" Type="http://schemas.openxmlformats.org/officeDocument/2006/relationships/image" Target="media/image8.jpeg"/><Relationship Id="rId7" Type="http://schemas.openxmlformats.org/officeDocument/2006/relationships/hyperlink" Target="http://www.fasb.org/st/summary/stsum159.shtml" TargetMode="External"/><Relationship Id="rId71" Type="http://schemas.openxmlformats.org/officeDocument/2006/relationships/hyperlink" Target="https://quotes.wsj.com/NL/XAMS/ABN" TargetMode="External"/><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hyperlink" Target="mailto:Michael.Rapoport@dowjones.com" TargetMode="External"/><Relationship Id="rId11" Type="http://schemas.openxmlformats.org/officeDocument/2006/relationships/hyperlink" Target="http://online.wsj.com/search/search_center.html?KEYWORDS=TOM+MCGINTY&amp;ARTICLESEARCHQUERY_PARSER=bylineAND" TargetMode="External"/><Relationship Id="rId24" Type="http://schemas.openxmlformats.org/officeDocument/2006/relationships/hyperlink" Target="http://online.wsj.com/public/quotes/main.html?type=djn&amp;symbol=RF" TargetMode="External"/><Relationship Id="rId32" Type="http://schemas.openxmlformats.org/officeDocument/2006/relationships/hyperlink" Target="http://www.ifrs.org/NR/rdonlyres/949CAE0C-3E3B-4F64-9F1D-53B491458880/0/LettertoESMA4August2011.pdf" TargetMode="External"/><Relationship Id="rId37" Type="http://schemas.openxmlformats.org/officeDocument/2006/relationships/hyperlink" Target="http://online.wsj.com/public/quotes/main.html?type=djn&amp;symbol=GS?mod=inlineTicker" TargetMode="External"/><Relationship Id="rId40" Type="http://schemas.openxmlformats.org/officeDocument/2006/relationships/hyperlink" Target="http://online.wsj.com/article/SB10001424052970203537304577028422145660162.html" TargetMode="External"/><Relationship Id="rId45" Type="http://schemas.openxmlformats.org/officeDocument/2006/relationships/hyperlink" Target="http://online.wsj.com/public/quotes/main.html?type=djn&amp;symbol=JPM" TargetMode="External"/><Relationship Id="rId53" Type="http://schemas.openxmlformats.org/officeDocument/2006/relationships/hyperlink" Target="http://online.wsj.com/public/quotes/main.html?type=djn&amp;symbol=MTU?mod=inlineTicker" TargetMode="External"/><Relationship Id="rId58" Type="http://schemas.openxmlformats.org/officeDocument/2006/relationships/hyperlink" Target="https://owa.dowjones.com/owa/redir.aspx?C=atrSbkEzTECuYBtknBQQK31ALmz9KdAIIZK3yGmFn89VSAWzre1x-xSqXLPbguS7iFiryymfrcI.&amp;URL=http%3a%2f%2fonline.wsj.com%2farticle%2fSB123867739560682309.html" TargetMode="External"/><Relationship Id="rId66" Type="http://schemas.openxmlformats.org/officeDocument/2006/relationships/hyperlink" Target="https://www.wsj.com/articles/banks-are-italys-weak-spot-as-rome-picks-fight-with-eu-1538731801?mod=article_inline" TargetMode="External"/><Relationship Id="rId74" Type="http://schemas.openxmlformats.org/officeDocument/2006/relationships/theme" Target="theme/theme1.xml"/><Relationship Id="rId5" Type="http://schemas.openxmlformats.org/officeDocument/2006/relationships/hyperlink" Target="http://www.stlouisfed.org/publications/cb/" TargetMode="External"/><Relationship Id="rId15" Type="http://schemas.openxmlformats.org/officeDocument/2006/relationships/image" Target="media/image2.jpeg"/><Relationship Id="rId23" Type="http://schemas.openxmlformats.org/officeDocument/2006/relationships/image" Target="media/image4.png"/><Relationship Id="rId28" Type="http://schemas.openxmlformats.org/officeDocument/2006/relationships/hyperlink" Target="http://online.wsj.com/public/quotes/main.html?type=djn&amp;symbol=MI" TargetMode="External"/><Relationship Id="rId36" Type="http://schemas.openxmlformats.org/officeDocument/2006/relationships/hyperlink" Target="http://online.wsj.com/public/quotes/main.html?type=djn&amp;symbol=GS" TargetMode="External"/><Relationship Id="rId49" Type="http://schemas.openxmlformats.org/officeDocument/2006/relationships/hyperlink" Target="http://topics.wsj.com/person/b/lloyd-c-blankfein/384" TargetMode="External"/><Relationship Id="rId57" Type="http://schemas.openxmlformats.org/officeDocument/2006/relationships/hyperlink" Target="https://owa.dowjones.com/owa/redir.aspx?C=atrSbkEzTECuYBtknBQQK31ALmz9KdAIIZK3yGmFn89VSAWzre1x-xSqXLPbguS7iFiryymfrcI.&amp;URL=http%3a%2f%2fonline.wsj.com%2farticle%2fSB122290736164696507.html" TargetMode="External"/><Relationship Id="rId61" Type="http://schemas.openxmlformats.org/officeDocument/2006/relationships/hyperlink" Target="https://owa.dowjones.com/owa/redir.aspx?C=atrSbkEzTECuYBtknBQQK31ALmz9KdAIIZK3yGmFn89VSAWzre1x-xSqXLPbguS7iFiryymfrcI.&amp;URL=http%3a%2f%2fblogs.wsj.com%2fcfo%2f2013%2f03%2f14%2fsenate-j-p-morgan-deviated-from-valuation-practices-on-whale-trades%2f" TargetMode="External"/><Relationship Id="rId10" Type="http://schemas.openxmlformats.org/officeDocument/2006/relationships/hyperlink" Target="http://online.wsj.com/search/search_center.html?KEYWORDS=SUSAN+PULLIAM&amp;ARTICLESEARCHQUERY_PARSER=bylineAND" TargetMode="External"/><Relationship Id="rId19" Type="http://schemas.openxmlformats.org/officeDocument/2006/relationships/hyperlink" Target="mailto:susan.pulliam@wsj.com" TargetMode="External"/><Relationship Id="rId31" Type="http://schemas.openxmlformats.org/officeDocument/2006/relationships/hyperlink" Target="http://online.wsj.com/search/term.html?KEYWORDS=DAVID+ENRICH&amp;bylinesearch=true" TargetMode="External"/><Relationship Id="rId44" Type="http://schemas.openxmlformats.org/officeDocument/2006/relationships/hyperlink" Target="http://professional.wsj.com/professional-search/search.html?ar=1&amp;dt=4&amp;mf=0&amp;pg=1&amp;ps=25&amp;sb=1&amp;pid=0_0_ES_1000&amp;cnt=&amp;st=3&amp;nfddg=0_0_EA_DeepDive_9|WIZARD_EDITOR_ID|deepdivel1&amp;mod=wsjpro_articlehook" TargetMode="External"/><Relationship Id="rId52" Type="http://schemas.openxmlformats.org/officeDocument/2006/relationships/hyperlink" Target="http://online.wsj.com/public/quotes/main.html?type=djn&amp;symbol=MTU" TargetMode="External"/><Relationship Id="rId60" Type="http://schemas.openxmlformats.org/officeDocument/2006/relationships/hyperlink" Target="http://online.wsj.com/public/quotes/main.html?type=djn&amp;symbol=JPM" TargetMode="External"/><Relationship Id="rId65" Type="http://schemas.openxmlformats.org/officeDocument/2006/relationships/hyperlink" Target="https://www.wsj.com/articles/bank-investors-fear-return-of-european-doom-loop-1527603286?mod=article_inline"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sb.org/news/nr040909.shtml" TargetMode="External"/><Relationship Id="rId14" Type="http://schemas.openxmlformats.org/officeDocument/2006/relationships/image" Target="media/image1.jpeg"/><Relationship Id="rId22" Type="http://schemas.openxmlformats.org/officeDocument/2006/relationships/hyperlink" Target="http://online.wsj.com/search/search_center.html?KEYWORDS=MICHAEL+RAPOPORT&amp;ARTICLESEARCHQUERY_PARSER=bylineAND" TargetMode="External"/><Relationship Id="rId27" Type="http://schemas.openxmlformats.org/officeDocument/2006/relationships/hyperlink" Target="http://online.wsj.com/public/quotes/main.html?type=djn&amp;symbol=STI" TargetMode="External"/><Relationship Id="rId30" Type="http://schemas.openxmlformats.org/officeDocument/2006/relationships/hyperlink" Target="http://online.wsj.com/search/term.html?KEYWORDS=MICHAEL+RAPOPORT&amp;bylinesearch=true" TargetMode="External"/><Relationship Id="rId35" Type="http://schemas.openxmlformats.org/officeDocument/2006/relationships/hyperlink" Target="http://online.wsj.com/search/term.html?KEYWORDS=LIZ+RAPPAPORT&amp;bylinesearch=true" TargetMode="External"/><Relationship Id="rId43" Type="http://schemas.openxmlformats.org/officeDocument/2006/relationships/hyperlink" Target="https://buy.wsj.com/shopandbuy/order/subscribe.jsp?trackCode=aaad7qvo&amp;extHeader=extPro&amp;mod=wsjpro_articlehook" TargetMode="External"/><Relationship Id="rId48" Type="http://schemas.openxmlformats.org/officeDocument/2006/relationships/hyperlink" Target="http://online.wsj.com/public/quotes/main.html?type=djn&amp;symbol=WFC?mod=inlineTicker" TargetMode="External"/><Relationship Id="rId56" Type="http://schemas.openxmlformats.org/officeDocument/2006/relationships/hyperlink" Target="https://owa.dowjones.com/owa/redir.aspx?C=atrSbkEzTECuYBtknBQQK31ALmz9KdAIIZK3yGmFn89VSAWzre1x-xSqXLPbguS7iFiryymfrcI.&amp;URL=http%3a%2f%2fwww.accountingfoundation.org%2fcs%2fContentServer%3fc%3dFAFContent_C%26pagename%3dFoundation%252FFAFContent_C%252FFAFNewsPage%26cid%3d1176162641915" TargetMode="External"/><Relationship Id="rId64" Type="http://schemas.openxmlformats.org/officeDocument/2006/relationships/hyperlink" Target="https://www.wsj.com/articles/yields-on-italian-bonds-hit-4-year-high-on-budget-concerns-1538996710?mod=article_inline" TargetMode="External"/><Relationship Id="rId69" Type="http://schemas.openxmlformats.org/officeDocument/2006/relationships/hyperlink" Target="https://quotes.wsj.com/IT/XMIL/BAMI" TargetMode="External"/><Relationship Id="rId8" Type="http://schemas.openxmlformats.org/officeDocument/2006/relationships/hyperlink" Target="http://www.fasb.org/st/summary/stsum157.shtml" TargetMode="External"/><Relationship Id="rId51" Type="http://schemas.openxmlformats.org/officeDocument/2006/relationships/hyperlink" Target="http://online.wsj.com/public/quotes/main.html?type=djn&amp;symbol=C?mod=inlineTicker" TargetMode="External"/><Relationship Id="rId72" Type="http://schemas.openxmlformats.org/officeDocument/2006/relationships/hyperlink" Target="mailto:paul.davies@wsj.com" TargetMode="External"/><Relationship Id="rId3" Type="http://schemas.openxmlformats.org/officeDocument/2006/relationships/settings" Target="settings.xml"/><Relationship Id="rId12" Type="http://schemas.openxmlformats.org/officeDocument/2006/relationships/hyperlink" Target="http://online.wsj.com/article/SB124396078596677535.html" TargetMode="External"/><Relationship Id="rId17" Type="http://schemas.openxmlformats.org/officeDocument/2006/relationships/hyperlink" Target="http://online.wsj.com/public/quotes/main.html?type=djn&amp;symbol=wfc" TargetMode="External"/><Relationship Id="rId25" Type="http://schemas.openxmlformats.org/officeDocument/2006/relationships/hyperlink" Target="http://online.wsj.com/public/quotes/main.html?type=djn&amp;symbol=HBAN" TargetMode="External"/><Relationship Id="rId33" Type="http://schemas.openxmlformats.org/officeDocument/2006/relationships/hyperlink" Target="mailto:Michael.Rapoport@dowjones.com" TargetMode="External"/><Relationship Id="rId38" Type="http://schemas.openxmlformats.org/officeDocument/2006/relationships/hyperlink" Target="http://online.wsj.com/public/quotes/main.html?type=djn&amp;symbol=MS" TargetMode="External"/><Relationship Id="rId46" Type="http://schemas.openxmlformats.org/officeDocument/2006/relationships/hyperlink" Target="http://online.wsj.com/public/quotes/main.html?type=djn&amp;symbol=JPM?mod=inlineTicker" TargetMode="External"/><Relationship Id="rId59" Type="http://schemas.openxmlformats.org/officeDocument/2006/relationships/hyperlink" Target="https://owa.dowjones.com/owa/redir.aspx?C=atrSbkEzTECuYBtknBQQK31ALmz9KdAIIZK3yGmFn89VSAWzre1x-xSqXLPbguS7iFiryymfrcI.&amp;URL=http%3a%2f%2fblogs.wsj.com%2fcfo%2f2013%2f05%2f10%2fshift-to-valuations-estimates-challenges-auditors%2f" TargetMode="External"/><Relationship Id="rId67" Type="http://schemas.openxmlformats.org/officeDocument/2006/relationships/hyperlink" Target="https://quotes.wsj.com/UNCFF" TargetMode="External"/><Relationship Id="rId20" Type="http://schemas.openxmlformats.org/officeDocument/2006/relationships/hyperlink" Target="mailto:tom.mcginty@wsj.com" TargetMode="External"/><Relationship Id="rId41" Type="http://schemas.openxmlformats.org/officeDocument/2006/relationships/image" Target="media/image5.jpeg"/><Relationship Id="rId54" Type="http://schemas.openxmlformats.org/officeDocument/2006/relationships/hyperlink" Target="mailto:liz.rappaport@wsj.com" TargetMode="External"/><Relationship Id="rId62" Type="http://schemas.openxmlformats.org/officeDocument/2006/relationships/hyperlink" Target="https://reach.dowjones.com/owa/,DanaInfo=owa.dowjones.com,SSL+redir.aspx?C=atrSbkEzTECuYBtknBQQK31ALmz9KdAIIZK3yGmFn89VSAWzre1x-xSqXLPbguS7iFiryymfrcI.&amp;URL=http%3a%2f%2fblogs.wsj.com%2fcfo%2f2011%2f12%2f01%2fsec-fair-value-disclosures-need-more-vetting%2f" TargetMode="External"/><Relationship Id="rId70" Type="http://schemas.openxmlformats.org/officeDocument/2006/relationships/hyperlink" Target="https://quotes.wsj.com/BNPQY" TargetMode="External"/><Relationship Id="rId1" Type="http://schemas.openxmlformats.org/officeDocument/2006/relationships/numbering" Target="numbering.xml"/><Relationship Id="rId6" Type="http://schemas.openxmlformats.org/officeDocument/2006/relationships/hyperlink" Target="http://www.stlouisfed.org/publications/cb/pastissues/?issue=20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7976</Words>
  <Characters>45469</Characters>
  <Application>Microsoft Office Word</Application>
  <DocSecurity>0</DocSecurity>
  <Lines>378</Lines>
  <Paragraphs>106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        Views</vt:lpstr>
      <vt:lpstr>    Fair-Value Accounting: Don't Shoot the Messenger!</vt:lpstr>
      <vt:lpstr>        Fair-value Accounting in the United States</vt:lpstr>
      <vt:lpstr>        What Fair-value Accounting Does and Does Not Do</vt:lpstr>
      <vt:lpstr>        The Fog of War</vt:lpstr>
      <vt:lpstr/>
      <vt:lpstr>Congress Helped Banks Defang Key Rule </vt:lpstr>
      <vt:lpstr>        By SUSAN PULLIAM and TOM MCGINTY </vt:lpstr>
      <vt:lpstr>        Comment by Robert Kaplan and Robert Merton: Disclose the fair value of complex s</vt:lpstr>
      <vt:lpstr>Accounting for Banks' Value Gaps </vt:lpstr>
      <vt:lpstr>        By MICHAEL RAPOPORT </vt:lpstr>
      <vt:lpstr>Officials Warn Lenders On Greek-Debt Values </vt:lpstr>
      <vt:lpstr>        By MICHAEL RAPOPORT And DAVID ENRICH </vt:lpstr>
      <vt:lpstr>    Bank Quandary: Valuing the Assets </vt:lpstr>
      <vt:lpstr>U.S. Accounting Overseers to Review Fair Value Rules</vt:lpstr>
      <vt:lpstr>        By Emily Chasan</vt:lpstr>
      <vt:lpstr>        Senior Editor</vt:lpstr>
      <vt:lpstr>Banks’ Answer to Volatile Italian Debt: Accounting Changes</vt:lpstr>
      <vt:lpstr>    Italian banks are cutting the proportion of Italian government bonds they have t</vt:lpstr>
    </vt:vector>
  </TitlesOfParts>
  <Company/>
  <LinksUpToDate>false</LinksUpToDate>
  <CharactersWithSpaces>53339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Nigro</dc:creator>
  <cp:lastModifiedBy>Khadija Ouzaka</cp:lastModifiedBy>
  <cp:revision>2</cp:revision>
  <dcterms:created xsi:type="dcterms:W3CDTF">2020-09-05T22:21:00Z</dcterms:created>
  <dcterms:modified xsi:type="dcterms:W3CDTF">2020-09-05T22:21:00Z</dcterms:modified>
</cp:coreProperties>
</file>